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E45" w:rsidRPr="00702E45" w:rsidRDefault="00702E45" w:rsidP="00702E45">
      <w:pPr>
        <w:jc w:val="both"/>
      </w:pPr>
    </w:p>
    <w:tbl>
      <w:tblPr>
        <w:tblpPr w:leftFromText="141" w:rightFromText="141" w:horzAnchor="margin" w:tblpX="-214" w:tblpY="-885"/>
        <w:tblW w:w="9851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377"/>
        <w:gridCol w:w="3765"/>
        <w:gridCol w:w="3544"/>
        <w:gridCol w:w="1165"/>
      </w:tblGrid>
      <w:tr w:rsidR="00702E45" w:rsidTr="00D66127">
        <w:trPr>
          <w:trHeight w:val="1592"/>
        </w:trPr>
        <w:tc>
          <w:tcPr>
            <w:tcW w:w="1377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702E45" w:rsidRDefault="00702E45" w:rsidP="00D66127"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70485</wp:posOffset>
                  </wp:positionV>
                  <wp:extent cx="621665" cy="672465"/>
                  <wp:effectExtent l="19050" t="0" r="6985" b="0"/>
                  <wp:wrapNone/>
                  <wp:docPr id="7" name="Картина 2" descr="coa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oat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672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02E45" w:rsidRDefault="00702E45" w:rsidP="00D66127"/>
          <w:p w:rsidR="00702E45" w:rsidRDefault="00702E45" w:rsidP="00D66127"/>
          <w:p w:rsidR="00702E45" w:rsidRDefault="00702E45" w:rsidP="00D66127"/>
          <w:p w:rsidR="00702E45" w:rsidRDefault="00702E45" w:rsidP="00D66127"/>
          <w:p w:rsidR="00702E45" w:rsidRDefault="00702E45" w:rsidP="00D66127"/>
        </w:tc>
        <w:tc>
          <w:tcPr>
            <w:tcW w:w="3765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702E45" w:rsidRDefault="00702E45" w:rsidP="00D66127">
            <w:pPr>
              <w:jc w:val="center"/>
              <w:rPr>
                <w:b/>
                <w:color w:val="000000"/>
                <w:sz w:val="12"/>
              </w:rPr>
            </w:pPr>
          </w:p>
          <w:p w:rsidR="00702E45" w:rsidRDefault="00702E45" w:rsidP="00D66127">
            <w:pPr>
              <w:jc w:val="center"/>
              <w:rPr>
                <w:color w:val="000000"/>
                <w:sz w:val="18"/>
              </w:rPr>
            </w:pPr>
            <w:smartTag w:uri="urn:schemas-microsoft-com:office:smarttags" w:element="place">
              <w:smartTag w:uri="urn:schemas-microsoft-com:office:smarttags" w:element="PlaceType">
                <w:r>
                  <w:rPr>
                    <w:b/>
                    <w:color w:val="000000"/>
                    <w:sz w:val="18"/>
                  </w:rPr>
                  <w:t>REPUBLIC</w:t>
                </w:r>
              </w:smartTag>
              <w:r>
                <w:rPr>
                  <w:b/>
                  <w:color w:val="000000"/>
                  <w:sz w:val="18"/>
                </w:rPr>
                <w:t xml:space="preserve"> OF </w:t>
              </w:r>
              <w:smartTag w:uri="urn:schemas-microsoft-com:office:smarttags" w:element="PlaceName">
                <w:r>
                  <w:rPr>
                    <w:b/>
                    <w:color w:val="000000"/>
                    <w:sz w:val="18"/>
                  </w:rPr>
                  <w:t>BULGARIA</w:t>
                </w:r>
              </w:smartTag>
            </w:smartTag>
          </w:p>
          <w:p w:rsidR="00702E45" w:rsidRDefault="00702E45" w:rsidP="00D66127">
            <w:pPr>
              <w:jc w:val="center"/>
              <w:rPr>
                <w:color w:val="000000"/>
                <w:sz w:val="18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TimokU" w:hAnsi="TimokU"/>
                    <w:b/>
                    <w:color w:val="000000"/>
                    <w:sz w:val="18"/>
                  </w:rPr>
                  <w:t>NOVI</w:t>
                </w:r>
              </w:smartTag>
              <w:r>
                <w:rPr>
                  <w:rFonts w:ascii="TimokU" w:hAnsi="TimokU"/>
                  <w:b/>
                  <w:color w:val="000000"/>
                  <w:sz w:val="18"/>
                </w:rPr>
                <w:t xml:space="preserve"> </w:t>
              </w:r>
              <w:smartTag w:uri="urn:schemas-microsoft-com:office:smarttags" w:element="PlaceName">
                <w:r>
                  <w:rPr>
                    <w:rFonts w:ascii="TimokU" w:hAnsi="TimokU"/>
                    <w:b/>
                    <w:color w:val="000000"/>
                    <w:sz w:val="18"/>
                  </w:rPr>
                  <w:t>PAZAR</w:t>
                </w:r>
              </w:smartTag>
              <w:r>
                <w:rPr>
                  <w:rFonts w:ascii="TimokU" w:hAnsi="TimokU"/>
                  <w:b/>
                  <w:color w:val="000000"/>
                  <w:sz w:val="18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TimokU" w:hAnsi="TimokU"/>
                    <w:b/>
                    <w:color w:val="000000"/>
                    <w:sz w:val="18"/>
                  </w:rPr>
                  <w:t>MUNICIPALITY</w:t>
                </w:r>
              </w:smartTag>
            </w:smartTag>
          </w:p>
          <w:p w:rsidR="00702E45" w:rsidRDefault="00702E45" w:rsidP="00D66127">
            <w:pPr>
              <w:jc w:val="center"/>
              <w:rPr>
                <w:rFonts w:ascii="TimokU" w:hAnsi="TimokU"/>
                <w:color w:val="000000"/>
                <w:sz w:val="18"/>
              </w:rPr>
            </w:pPr>
            <w:r>
              <w:rPr>
                <w:rFonts w:ascii="TimokU" w:hAnsi="TimokU"/>
                <w:color w:val="000000"/>
                <w:sz w:val="18"/>
              </w:rPr>
              <w:t>Mayor’s phone:+ 359 + 0537 /2 3466</w:t>
            </w:r>
          </w:p>
          <w:p w:rsidR="00702E45" w:rsidRDefault="00702E45" w:rsidP="00D66127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                  </w:t>
            </w:r>
            <w:r w:rsidRPr="00450105">
              <w:rPr>
                <w:color w:val="000000"/>
                <w:sz w:val="18"/>
                <w:lang w:val="fr-FR"/>
              </w:rPr>
              <w:t xml:space="preserve">Fax::  + 359 + 0537 / </w:t>
            </w:r>
            <w:r>
              <w:rPr>
                <w:color w:val="000000"/>
                <w:sz w:val="18"/>
                <w:lang w:val="fr-FR"/>
              </w:rPr>
              <w:t xml:space="preserve">2 </w:t>
            </w:r>
            <w:r w:rsidRPr="00450105">
              <w:rPr>
                <w:color w:val="000000"/>
                <w:sz w:val="18"/>
                <w:lang w:val="fr-FR"/>
              </w:rPr>
              <w:t>40 10</w:t>
            </w:r>
          </w:p>
          <w:p w:rsidR="00702E45" w:rsidRPr="00E21619" w:rsidRDefault="00702E45" w:rsidP="00D66127">
            <w:pPr>
              <w:rPr>
                <w:color w:val="000000"/>
                <w:sz w:val="18"/>
              </w:rPr>
            </w:pPr>
            <w:r>
              <w:rPr>
                <w:rFonts w:ascii="TimokU" w:hAnsi="TimokU"/>
                <w:color w:val="000000"/>
                <w:sz w:val="18"/>
              </w:rPr>
              <w:t xml:space="preserve">           </w:t>
            </w:r>
            <w:r>
              <w:rPr>
                <w:rFonts w:ascii="TimokU" w:hAnsi="TimokU"/>
                <w:color w:val="000000"/>
                <w:sz w:val="18"/>
                <w:lang w:val="en-US"/>
              </w:rPr>
              <w:t>Fax:  +359+0537/95530</w:t>
            </w:r>
            <w:r>
              <w:rPr>
                <w:rFonts w:ascii="TimokU" w:hAnsi="TimokU"/>
                <w:color w:val="000000"/>
                <w:sz w:val="18"/>
              </w:rPr>
              <w:t xml:space="preserve">      </w:t>
            </w:r>
          </w:p>
          <w:p w:rsidR="00702E45" w:rsidRPr="00A24131" w:rsidRDefault="00702E45" w:rsidP="00D66127">
            <w:pPr>
              <w:rPr>
                <w:color w:val="000000"/>
                <w:sz w:val="18"/>
                <w:lang w:val="fr-FR"/>
              </w:rPr>
            </w:pPr>
            <w:r>
              <w:rPr>
                <w:rFonts w:ascii="TimokU" w:hAnsi="TimokU"/>
                <w:color w:val="000000"/>
                <w:sz w:val="18"/>
              </w:rPr>
              <w:t xml:space="preserve">   </w:t>
            </w:r>
            <w:r>
              <w:rPr>
                <w:color w:val="000000"/>
                <w:sz w:val="18"/>
              </w:rPr>
              <w:t xml:space="preserve">     </w:t>
            </w:r>
            <w:r w:rsidRPr="00450105">
              <w:rPr>
                <w:rFonts w:ascii="TimokU" w:hAnsi="TimokU"/>
                <w:color w:val="000000"/>
                <w:sz w:val="21"/>
                <w:lang w:val="fr-FR"/>
              </w:rPr>
              <w:t>http://novipazar.acstre.com</w:t>
            </w:r>
          </w:p>
          <w:p w:rsidR="00702E45" w:rsidRDefault="00702E45" w:rsidP="00D66127">
            <w:pPr>
              <w:jc w:val="center"/>
            </w:pPr>
            <w:r w:rsidRPr="00450105">
              <w:rPr>
                <w:rFonts w:ascii="TimokU" w:hAnsi="TimokU"/>
                <w:color w:val="000000"/>
                <w:sz w:val="18"/>
                <w:lang w:val="fr-FR"/>
              </w:rPr>
              <w:t xml:space="preserve">E-mail: </w:t>
            </w:r>
            <w:hyperlink r:id="rId9" w:history="1">
              <w:r w:rsidRPr="00450105">
                <w:rPr>
                  <w:rStyle w:val="a7"/>
                  <w:rFonts w:ascii="TimokU" w:hAnsi="TimokU"/>
                  <w:color w:val="000000"/>
                  <w:sz w:val="18"/>
                  <w:lang w:val="fr-FR"/>
                </w:rPr>
                <w:t>npazar@icon.bg</w:t>
              </w:r>
            </w:hyperlink>
          </w:p>
          <w:p w:rsidR="00702E45" w:rsidRPr="00A24131" w:rsidRDefault="00702E45" w:rsidP="00D66127">
            <w:pPr>
              <w:jc w:val="center"/>
              <w:rPr>
                <w:color w:val="000000"/>
                <w:sz w:val="20"/>
                <w:szCs w:val="20"/>
                <w:u w:val="single"/>
                <w:lang w:val="en-US"/>
              </w:rPr>
            </w:pPr>
            <w:r w:rsidRPr="00A24131">
              <w:rPr>
                <w:sz w:val="20"/>
                <w:szCs w:val="20"/>
                <w:u w:val="single"/>
                <w:lang w:val="en-US"/>
              </w:rPr>
              <w:t>novipazar@novipazar.bg</w:t>
            </w:r>
          </w:p>
        </w:tc>
        <w:tc>
          <w:tcPr>
            <w:tcW w:w="3544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702E45" w:rsidRPr="00450105" w:rsidRDefault="00702E45" w:rsidP="00D66127">
            <w:pPr>
              <w:jc w:val="center"/>
              <w:rPr>
                <w:rFonts w:ascii="TimokU" w:hAnsi="TimokU"/>
                <w:b/>
                <w:color w:val="000000"/>
                <w:sz w:val="8"/>
                <w:lang w:val="fr-FR"/>
              </w:rPr>
            </w:pPr>
          </w:p>
          <w:p w:rsidR="00702E45" w:rsidRPr="00450105" w:rsidRDefault="00702E45" w:rsidP="00D66127">
            <w:pPr>
              <w:jc w:val="center"/>
              <w:rPr>
                <w:color w:val="000000"/>
                <w:sz w:val="18"/>
                <w:lang w:val="ru-RU"/>
              </w:rPr>
            </w:pPr>
            <w:r w:rsidRPr="00450105">
              <w:rPr>
                <w:rFonts w:ascii="TimokU" w:hAnsi="TimokU"/>
                <w:b/>
                <w:color w:val="000000"/>
                <w:sz w:val="18"/>
                <w:lang w:val="ru-RU"/>
              </w:rPr>
              <w:t>РЕПУБЛИКА БЪЛГАРИЯ</w:t>
            </w:r>
          </w:p>
          <w:p w:rsidR="00702E45" w:rsidRDefault="00702E45" w:rsidP="00D66127">
            <w:pPr>
              <w:jc w:val="center"/>
              <w:rPr>
                <w:color w:val="000000"/>
                <w:sz w:val="18"/>
                <w:lang w:val="ru-RU"/>
              </w:rPr>
            </w:pPr>
            <w:r w:rsidRPr="00450105">
              <w:rPr>
                <w:rFonts w:ascii="TimokU" w:hAnsi="TimokU"/>
                <w:b/>
                <w:color w:val="000000"/>
                <w:sz w:val="18"/>
                <w:lang w:val="ru-RU"/>
              </w:rPr>
              <w:t>ОБЩИНА НОВИ ПАЗАР</w:t>
            </w:r>
          </w:p>
          <w:p w:rsidR="00702E45" w:rsidRPr="00450105" w:rsidRDefault="00702E45" w:rsidP="00D66127">
            <w:pPr>
              <w:jc w:val="center"/>
              <w:rPr>
                <w:rFonts w:ascii="TimokU" w:hAnsi="TimokU"/>
                <w:color w:val="000000"/>
                <w:sz w:val="18"/>
                <w:lang w:val="ru-RU"/>
              </w:rPr>
            </w:pPr>
            <w:r>
              <w:rPr>
                <w:rFonts w:ascii="TimokU" w:hAnsi="TimokU"/>
                <w:color w:val="000000"/>
                <w:sz w:val="18"/>
                <w:lang w:val="ru-RU"/>
              </w:rPr>
              <w:t>КМЕТ телефон:+359 + 0537 /</w:t>
            </w:r>
            <w:r>
              <w:rPr>
                <w:rFonts w:ascii="TimokU" w:hAnsi="TimokU"/>
                <w:color w:val="000000"/>
                <w:sz w:val="18"/>
                <w:lang w:val="en-US"/>
              </w:rPr>
              <w:t>2</w:t>
            </w:r>
            <w:r>
              <w:rPr>
                <w:rFonts w:ascii="TimokU" w:hAnsi="TimokU"/>
                <w:color w:val="000000"/>
                <w:sz w:val="18"/>
                <w:lang w:val="ru-RU"/>
              </w:rPr>
              <w:t xml:space="preserve"> 3466</w:t>
            </w:r>
          </w:p>
          <w:p w:rsidR="00702E45" w:rsidRDefault="00702E45" w:rsidP="00D66127">
            <w:pPr>
              <w:jc w:val="center"/>
              <w:rPr>
                <w:rFonts w:ascii="TimokU" w:hAnsi="TimokU"/>
                <w:color w:val="000000"/>
                <w:sz w:val="18"/>
              </w:rPr>
            </w:pPr>
            <w:r>
              <w:rPr>
                <w:color w:val="000000"/>
                <w:sz w:val="18"/>
                <w:lang w:val="ru-RU"/>
              </w:rPr>
              <w:t>Факс: +  359 + 0537 /</w:t>
            </w:r>
            <w:r>
              <w:rPr>
                <w:color w:val="000000"/>
                <w:sz w:val="18"/>
                <w:lang w:val="en-US"/>
              </w:rPr>
              <w:t>2</w:t>
            </w:r>
            <w:r>
              <w:rPr>
                <w:color w:val="000000"/>
                <w:sz w:val="18"/>
                <w:lang w:val="ru-RU"/>
              </w:rPr>
              <w:t xml:space="preserve"> 40 10</w:t>
            </w:r>
          </w:p>
          <w:p w:rsidR="00702E45" w:rsidRPr="00E21619" w:rsidRDefault="00702E45" w:rsidP="00D66127">
            <w:pPr>
              <w:jc w:val="center"/>
              <w:rPr>
                <w:rFonts w:ascii="TimokU" w:hAnsi="TimokU"/>
                <w:color w:val="000000"/>
                <w:sz w:val="18"/>
              </w:rPr>
            </w:pPr>
            <w:r>
              <w:rPr>
                <w:rFonts w:ascii="TimokU" w:hAnsi="TimokU"/>
                <w:color w:val="000000"/>
                <w:sz w:val="18"/>
              </w:rPr>
              <w:t>Факс:+359+0537/95530</w:t>
            </w:r>
          </w:p>
          <w:p w:rsidR="00702E45" w:rsidRDefault="00702E45" w:rsidP="00D66127">
            <w:pPr>
              <w:jc w:val="center"/>
              <w:rPr>
                <w:rFonts w:ascii="TimokU" w:hAnsi="TimokU"/>
                <w:color w:val="000000"/>
                <w:sz w:val="18"/>
              </w:rPr>
            </w:pPr>
            <w:r>
              <w:rPr>
                <w:rFonts w:ascii="TimokU" w:hAnsi="TimokU"/>
                <w:color w:val="000000"/>
                <w:sz w:val="18"/>
              </w:rPr>
              <w:t>Зам кмет :</w:t>
            </w:r>
          </w:p>
          <w:p w:rsidR="00702E45" w:rsidRPr="00E21619" w:rsidRDefault="00702E45" w:rsidP="00D66127">
            <w:pPr>
              <w:jc w:val="center"/>
              <w:rPr>
                <w:rFonts w:ascii="TimokU" w:hAnsi="TimokU"/>
                <w:color w:val="000000"/>
                <w:sz w:val="18"/>
              </w:rPr>
            </w:pPr>
            <w:r>
              <w:rPr>
                <w:rFonts w:ascii="TimokU" w:hAnsi="TimokU"/>
                <w:color w:val="000000"/>
                <w:sz w:val="18"/>
              </w:rPr>
              <w:t>телефон +359 + 0537 /95523</w:t>
            </w:r>
          </w:p>
          <w:p w:rsidR="00702E45" w:rsidRPr="00E21619" w:rsidRDefault="00702E45" w:rsidP="00D66127">
            <w:pPr>
              <w:jc w:val="center"/>
              <w:rPr>
                <w:color w:val="000000"/>
              </w:rPr>
            </w:pPr>
            <w:r>
              <w:rPr>
                <w:rFonts w:ascii="TimokU" w:hAnsi="TimokU"/>
                <w:color w:val="000000"/>
                <w:sz w:val="18"/>
              </w:rPr>
              <w:t xml:space="preserve">        +359 + 0537 /95525</w:t>
            </w:r>
          </w:p>
        </w:tc>
        <w:tc>
          <w:tcPr>
            <w:tcW w:w="1165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702E45" w:rsidRDefault="00702E45" w:rsidP="00D66127">
            <w:pPr>
              <w:jc w:val="center"/>
              <w:rPr>
                <w:rFonts w:ascii="Courier" w:hAnsi="Courier"/>
                <w:sz w:val="12"/>
              </w:rPr>
            </w:pPr>
          </w:p>
          <w:p w:rsidR="00702E45" w:rsidRDefault="00702E45" w:rsidP="00D66127">
            <w:pPr>
              <w:jc w:val="center"/>
              <w:rPr>
                <w:rFonts w:ascii="Courier" w:hAnsi="Courier"/>
                <w:sz w:val="28"/>
              </w:rPr>
            </w:pPr>
            <w:r>
              <w:rPr>
                <w:rFonts w:ascii="Courier" w:hAnsi="Courier"/>
                <w:noProof/>
                <w:sz w:val="28"/>
              </w:rPr>
              <w:drawing>
                <wp:inline distT="0" distB="0" distL="0" distR="0">
                  <wp:extent cx="647700" cy="771525"/>
                  <wp:effectExtent l="19050" t="0" r="0" b="0"/>
                  <wp:docPr id="8" name="Картина 1" descr="gerb zeleno jal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 zeleno jal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2E45" w:rsidTr="00D66127">
        <w:trPr>
          <w:trHeight w:val="356"/>
        </w:trPr>
        <w:tc>
          <w:tcPr>
            <w:tcW w:w="9851" w:type="dxa"/>
            <w:gridSpan w:val="4"/>
            <w:tcBorders>
              <w:top w:val="thinThickSmallGap" w:sz="24" w:space="0" w:color="auto"/>
              <w:bottom w:val="thinThickSmallGap" w:sz="24" w:space="0" w:color="auto"/>
            </w:tcBorders>
          </w:tcPr>
          <w:p w:rsidR="00702E45" w:rsidRDefault="00702E45" w:rsidP="00D66127">
            <w:pPr>
              <w:jc w:val="center"/>
              <w:rPr>
                <w:rFonts w:ascii="Courier" w:hAnsi="Courier"/>
                <w:lang w:val="ru-RU"/>
              </w:rPr>
            </w:pPr>
            <w:r w:rsidRPr="00450105">
              <w:rPr>
                <w:b/>
                <w:color w:val="800000"/>
                <w:lang w:val="ru-RU"/>
              </w:rPr>
              <w:t xml:space="preserve">Община Нови пазар е сертифицирана по </w:t>
            </w:r>
            <w:r>
              <w:rPr>
                <w:b/>
                <w:color w:val="800000"/>
              </w:rPr>
              <w:t>ISO</w:t>
            </w:r>
            <w:r>
              <w:rPr>
                <w:b/>
                <w:color w:val="800000"/>
                <w:lang w:val="ru-RU"/>
              </w:rPr>
              <w:t xml:space="preserve"> 9001:2008</w:t>
            </w:r>
          </w:p>
        </w:tc>
      </w:tr>
    </w:tbl>
    <w:p w:rsidR="00A1282E" w:rsidRDefault="00A1282E" w:rsidP="00A1282E">
      <w:pPr>
        <w:snapToGrid w:val="0"/>
        <w:ind w:right="317"/>
        <w:rPr>
          <w:b/>
          <w:sz w:val="40"/>
          <w:szCs w:val="40"/>
        </w:rPr>
      </w:pPr>
    </w:p>
    <w:p w:rsidR="00463D75" w:rsidRDefault="00463D75" w:rsidP="00463D75">
      <w:pPr>
        <w:jc w:val="right"/>
        <w:rPr>
          <w:i/>
          <w:sz w:val="20"/>
        </w:rPr>
      </w:pPr>
      <w:r w:rsidRPr="00DE5D78">
        <w:rPr>
          <w:i/>
          <w:sz w:val="20"/>
        </w:rPr>
        <w:t>Приложение 4</w:t>
      </w:r>
    </w:p>
    <w:p w:rsidR="00463D75" w:rsidRPr="00DE5D78" w:rsidRDefault="00463D75" w:rsidP="00463D75">
      <w:pPr>
        <w:jc w:val="right"/>
        <w:rPr>
          <w:i/>
          <w:sz w:val="20"/>
        </w:rPr>
      </w:pPr>
    </w:p>
    <w:p w:rsidR="00463D75" w:rsidRDefault="00463D75" w:rsidP="00D64819">
      <w:pPr>
        <w:rPr>
          <w:b/>
          <w:i/>
          <w:sz w:val="28"/>
          <w:szCs w:val="28"/>
          <w:lang w:val="en-US"/>
        </w:rPr>
      </w:pPr>
      <w:r>
        <w:rPr>
          <w:b/>
          <w:i/>
          <w:sz w:val="28"/>
          <w:szCs w:val="28"/>
        </w:rPr>
        <w:t>ПРОЕКТ</w:t>
      </w:r>
      <w:r w:rsidRPr="00007EEE">
        <w:rPr>
          <w:b/>
          <w:i/>
          <w:sz w:val="28"/>
          <w:szCs w:val="28"/>
          <w:lang w:val="ru-RU"/>
        </w:rPr>
        <w:t>!</w:t>
      </w:r>
    </w:p>
    <w:p w:rsidR="00A07A99" w:rsidRDefault="00A07A99" w:rsidP="00D64819">
      <w:pPr>
        <w:rPr>
          <w:b/>
          <w:i/>
          <w:sz w:val="28"/>
          <w:szCs w:val="28"/>
          <w:lang w:val="en-US"/>
        </w:rPr>
      </w:pPr>
    </w:p>
    <w:p w:rsidR="00A07A99" w:rsidRDefault="00A07A99" w:rsidP="00D64819">
      <w:pPr>
        <w:rPr>
          <w:b/>
          <w:i/>
          <w:sz w:val="28"/>
          <w:szCs w:val="28"/>
          <w:lang w:val="en-US"/>
        </w:rPr>
      </w:pPr>
    </w:p>
    <w:p w:rsidR="00A07A99" w:rsidRPr="00A07A99" w:rsidRDefault="00A07A99" w:rsidP="00D64819">
      <w:pPr>
        <w:rPr>
          <w:b/>
          <w:i/>
          <w:sz w:val="28"/>
          <w:szCs w:val="28"/>
          <w:lang w:val="en-US"/>
        </w:rPr>
      </w:pPr>
    </w:p>
    <w:p w:rsidR="00463D75" w:rsidRDefault="00463D75" w:rsidP="00463D75">
      <w:pPr>
        <w:jc w:val="center"/>
        <w:rPr>
          <w:b/>
          <w:sz w:val="28"/>
          <w:szCs w:val="28"/>
        </w:rPr>
      </w:pPr>
      <w:r w:rsidRPr="003A2AB6">
        <w:rPr>
          <w:b/>
          <w:sz w:val="28"/>
          <w:szCs w:val="28"/>
        </w:rPr>
        <w:t>ДОГОВОР ЗА ВЪЗЛАГАНЕ УПРАВЛЕНИЕ</w:t>
      </w:r>
      <w:r>
        <w:rPr>
          <w:b/>
          <w:sz w:val="28"/>
          <w:szCs w:val="28"/>
        </w:rPr>
        <w:t>ТО</w:t>
      </w:r>
      <w:r w:rsidRPr="003A2AB6">
        <w:rPr>
          <w:b/>
          <w:sz w:val="28"/>
          <w:szCs w:val="28"/>
        </w:rPr>
        <w:t xml:space="preserve"> </w:t>
      </w:r>
    </w:p>
    <w:p w:rsidR="00463D75" w:rsidRPr="003A2AB6" w:rsidRDefault="00463D75" w:rsidP="00463D75">
      <w:pPr>
        <w:jc w:val="center"/>
        <w:rPr>
          <w:b/>
          <w:sz w:val="28"/>
          <w:szCs w:val="28"/>
        </w:rPr>
      </w:pPr>
      <w:r w:rsidRPr="003A2AB6">
        <w:rPr>
          <w:b/>
          <w:sz w:val="28"/>
          <w:szCs w:val="28"/>
        </w:rPr>
        <w:t>НА СОЦИАЛНА УСЛУГА</w:t>
      </w:r>
    </w:p>
    <w:p w:rsidR="00463D75" w:rsidRDefault="00463D75" w:rsidP="00463D75">
      <w:pPr>
        <w:jc w:val="center"/>
        <w:rPr>
          <w:b/>
          <w:sz w:val="32"/>
        </w:rPr>
      </w:pPr>
    </w:p>
    <w:p w:rsidR="00463D75" w:rsidRPr="003A2AB6" w:rsidRDefault="00463D75" w:rsidP="00463D75">
      <w:pPr>
        <w:jc w:val="center"/>
        <w:rPr>
          <w:b/>
        </w:rPr>
      </w:pPr>
      <w:r w:rsidRPr="003A2AB6">
        <w:rPr>
          <w:b/>
        </w:rPr>
        <w:t>№………………</w:t>
      </w:r>
    </w:p>
    <w:p w:rsidR="00463D75" w:rsidRPr="003A2AB6" w:rsidRDefault="00463D75" w:rsidP="00463D75">
      <w:pPr>
        <w:jc w:val="center"/>
        <w:rPr>
          <w:b/>
        </w:rPr>
      </w:pPr>
      <w:r w:rsidRPr="003A2AB6">
        <w:rPr>
          <w:b/>
        </w:rPr>
        <w:t>Дата…………...</w:t>
      </w:r>
    </w:p>
    <w:p w:rsidR="00463D75" w:rsidRPr="003A2AB6" w:rsidRDefault="00463D75" w:rsidP="00463D75">
      <w:pPr>
        <w:jc w:val="center"/>
        <w:rPr>
          <w:b/>
        </w:rPr>
      </w:pPr>
    </w:p>
    <w:p w:rsidR="00463D75" w:rsidRPr="003A2AB6" w:rsidRDefault="00463D75" w:rsidP="00463D75">
      <w:pPr>
        <w:tabs>
          <w:tab w:val="left" w:pos="180"/>
        </w:tabs>
        <w:ind w:firstLine="567"/>
        <w:jc w:val="both"/>
      </w:pPr>
      <w:r w:rsidRPr="003A2AB6">
        <w:t xml:space="preserve"> </w:t>
      </w:r>
      <w:r w:rsidRPr="005D2062">
        <w:t>На основание чл. 39</w:t>
      </w:r>
      <w:r w:rsidR="00F65D35">
        <w:t xml:space="preserve"> </w:t>
      </w:r>
      <w:r w:rsidRPr="005D2062">
        <w:t>а, ал.1 във връзка с чл. 37, ал.1  от Правилника за прилагане на Закона за социалното подпомагане</w:t>
      </w:r>
      <w:r w:rsidR="00F65D35">
        <w:t xml:space="preserve">, в изпълнение на Заповед №…………………..на Кмета на Община Нови пазар, във връзка с процедура по провеждане на конкурс за възлагане на управление на социалните услуги: </w:t>
      </w:r>
      <w:r w:rsidR="00F02BB4">
        <w:t xml:space="preserve">ЦЕНТЪР ЗА ОБЩЕСТВЕНА ПОДКРЕПА </w:t>
      </w:r>
      <w:r w:rsidR="00F65D35">
        <w:t>гр. Нови пазар, открита със Заповед №……………….на кмета на общината.</w:t>
      </w:r>
    </w:p>
    <w:p w:rsidR="00463D75" w:rsidRDefault="00463D75" w:rsidP="00463D75">
      <w:pPr>
        <w:ind w:firstLine="567"/>
      </w:pPr>
      <w:r w:rsidRPr="003A2AB6">
        <w:tab/>
      </w:r>
    </w:p>
    <w:p w:rsidR="00463D75" w:rsidRDefault="00463D75" w:rsidP="00463D75">
      <w:pPr>
        <w:ind w:firstLine="567"/>
        <w:rPr>
          <w:color w:val="000000"/>
        </w:rPr>
      </w:pPr>
      <w:r w:rsidRPr="003A2AB6">
        <w:t>Днес,</w:t>
      </w:r>
      <w:r w:rsidRPr="003A2AB6">
        <w:rPr>
          <w:lang w:val="ru-RU"/>
        </w:rPr>
        <w:t xml:space="preserve"> </w:t>
      </w:r>
      <w:r w:rsidRPr="003A2AB6">
        <w:rPr>
          <w:color w:val="000000"/>
          <w:lang w:val="ru-RU"/>
        </w:rPr>
        <w:t>................</w:t>
      </w:r>
      <w:r>
        <w:rPr>
          <w:color w:val="000000"/>
          <w:lang w:val="ru-RU"/>
        </w:rPr>
        <w:t>.....</w:t>
      </w:r>
      <w:r w:rsidRPr="003A2AB6">
        <w:rPr>
          <w:color w:val="000000"/>
          <w:lang w:val="ru-RU"/>
        </w:rPr>
        <w:t>..201</w:t>
      </w:r>
      <w:r w:rsidR="00F02BB4">
        <w:rPr>
          <w:color w:val="000000"/>
        </w:rPr>
        <w:t>8</w:t>
      </w:r>
      <w:r w:rsidRPr="003A2AB6">
        <w:rPr>
          <w:color w:val="000000"/>
          <w:lang w:val="ru-RU"/>
        </w:rPr>
        <w:t>г.,</w:t>
      </w:r>
      <w:r w:rsidRPr="003A2AB6">
        <w:rPr>
          <w:color w:val="000000"/>
        </w:rPr>
        <w:t xml:space="preserve"> в гр. </w:t>
      </w:r>
      <w:r w:rsidR="00F65D35">
        <w:rPr>
          <w:color w:val="000000"/>
        </w:rPr>
        <w:t>Нови пазар</w:t>
      </w:r>
      <w:r w:rsidRPr="003A2AB6">
        <w:rPr>
          <w:color w:val="000000"/>
        </w:rPr>
        <w:t xml:space="preserve"> между:</w:t>
      </w:r>
    </w:p>
    <w:p w:rsidR="00463D75" w:rsidRPr="003A2AB6" w:rsidRDefault="00463D75" w:rsidP="00463D75">
      <w:pPr>
        <w:ind w:firstLine="567"/>
        <w:rPr>
          <w:color w:val="000000"/>
        </w:rPr>
      </w:pPr>
    </w:p>
    <w:p w:rsidR="00463D75" w:rsidRPr="003A2AB6" w:rsidRDefault="00463D75" w:rsidP="00463D75">
      <w:pPr>
        <w:ind w:firstLine="567"/>
        <w:jc w:val="both"/>
      </w:pPr>
      <w:r w:rsidRPr="003A2AB6">
        <w:tab/>
        <w:t xml:space="preserve">1. Община </w:t>
      </w:r>
      <w:r w:rsidR="00FD0BD7">
        <w:t>Нови пазар</w:t>
      </w:r>
      <w:r w:rsidRPr="003A2AB6">
        <w:t xml:space="preserve">, </w:t>
      </w:r>
      <w:r>
        <w:t xml:space="preserve">с адрес: гр. </w:t>
      </w:r>
      <w:r w:rsidR="00FD0BD7">
        <w:t>Нови пазар</w:t>
      </w:r>
      <w:r>
        <w:t xml:space="preserve">, </w:t>
      </w:r>
      <w:r w:rsidR="00FD0BD7">
        <w:t>у</w:t>
      </w:r>
      <w:r w:rsidRPr="003A2AB6">
        <w:t>л.”</w:t>
      </w:r>
      <w:r>
        <w:t>В</w:t>
      </w:r>
      <w:r w:rsidR="00FD0BD7">
        <w:t>асил Левски” №3</w:t>
      </w:r>
      <w:r w:rsidRPr="003A2AB6">
        <w:t>,</w:t>
      </w:r>
      <w:r>
        <w:t xml:space="preserve"> с</w:t>
      </w:r>
      <w:r w:rsidRPr="003A2AB6">
        <w:t xml:space="preserve"> </w:t>
      </w:r>
      <w:r>
        <w:t>Б</w:t>
      </w:r>
      <w:r w:rsidRPr="003A2AB6">
        <w:t xml:space="preserve">УЛСТАТ </w:t>
      </w:r>
      <w:r w:rsidR="00FD0BD7">
        <w:rPr>
          <w:sz w:val="26"/>
          <w:szCs w:val="26"/>
        </w:rPr>
        <w:t>000931575</w:t>
      </w:r>
      <w:r w:rsidRPr="003A2AB6">
        <w:t xml:space="preserve">, </w:t>
      </w:r>
      <w:r w:rsidRPr="003A2AB6">
        <w:rPr>
          <w:color w:val="000000"/>
        </w:rPr>
        <w:t xml:space="preserve">представлявана от </w:t>
      </w:r>
      <w:r w:rsidR="00FD0BD7">
        <w:rPr>
          <w:color w:val="000000"/>
        </w:rPr>
        <w:t>Ивайло Стоянов Камаджиев</w:t>
      </w:r>
      <w:r w:rsidRPr="003A2AB6">
        <w:rPr>
          <w:color w:val="000000"/>
        </w:rPr>
        <w:t xml:space="preserve"> – </w:t>
      </w:r>
      <w:r w:rsidRPr="003A2AB6">
        <w:rPr>
          <w:i/>
          <w:color w:val="000000"/>
        </w:rPr>
        <w:t xml:space="preserve">Кмет на Община </w:t>
      </w:r>
      <w:r w:rsidR="00F65D35">
        <w:rPr>
          <w:i/>
          <w:color w:val="000000"/>
        </w:rPr>
        <w:t xml:space="preserve"> </w:t>
      </w:r>
      <w:r w:rsidR="00FD0BD7">
        <w:rPr>
          <w:i/>
          <w:color w:val="000000"/>
        </w:rPr>
        <w:t>Нови пазар</w:t>
      </w:r>
      <w:r w:rsidRPr="003A2AB6">
        <w:t>, наричана за краткост в договора “</w:t>
      </w:r>
      <w:r w:rsidRPr="003A2AB6">
        <w:rPr>
          <w:b/>
        </w:rPr>
        <w:t>ВЪЗЛОЖИТЕЛ</w:t>
      </w:r>
      <w:r w:rsidRPr="003A2AB6">
        <w:t>” от една страна и</w:t>
      </w:r>
    </w:p>
    <w:p w:rsidR="00463D75" w:rsidRPr="003A0D78" w:rsidRDefault="00463D75" w:rsidP="00463D75">
      <w:pPr>
        <w:ind w:firstLine="567"/>
        <w:jc w:val="both"/>
      </w:pPr>
      <w:r w:rsidRPr="003A2AB6">
        <w:tab/>
      </w:r>
      <w:r w:rsidRPr="003A2AB6">
        <w:rPr>
          <w:color w:val="000000"/>
        </w:rPr>
        <w:t xml:space="preserve">2. </w:t>
      </w:r>
      <w:r>
        <w:rPr>
          <w:color w:val="000000"/>
        </w:rPr>
        <w:t>………………………….</w:t>
      </w:r>
      <w:r w:rsidRPr="003A2AB6">
        <w:rPr>
          <w:color w:val="000000"/>
        </w:rPr>
        <w:t xml:space="preserve">, </w:t>
      </w:r>
      <w:r>
        <w:rPr>
          <w:color w:val="000000"/>
        </w:rPr>
        <w:t>с адрес: …………………………..</w:t>
      </w:r>
      <w:r w:rsidRPr="003A2AB6">
        <w:rPr>
          <w:color w:val="000000"/>
        </w:rPr>
        <w:t xml:space="preserve">, БУЛСТАТ </w:t>
      </w:r>
      <w:r>
        <w:rPr>
          <w:color w:val="000000"/>
        </w:rPr>
        <w:t>………………………</w:t>
      </w:r>
      <w:r w:rsidRPr="003A2AB6">
        <w:rPr>
          <w:color w:val="000000"/>
        </w:rPr>
        <w:t xml:space="preserve">, представлявано от </w:t>
      </w:r>
      <w:r>
        <w:rPr>
          <w:color w:val="000000"/>
        </w:rPr>
        <w:t>………………………</w:t>
      </w:r>
      <w:r w:rsidRPr="003A2AB6">
        <w:rPr>
          <w:color w:val="000000"/>
        </w:rPr>
        <w:t xml:space="preserve">, с ЕГН </w:t>
      </w:r>
      <w:r>
        <w:rPr>
          <w:color w:val="000000"/>
        </w:rPr>
        <w:t>………………….</w:t>
      </w:r>
      <w:r w:rsidRPr="003A2AB6">
        <w:rPr>
          <w:color w:val="000000"/>
        </w:rPr>
        <w:t xml:space="preserve"> наричано за краткост в договора “</w:t>
      </w:r>
      <w:r w:rsidRPr="003A2AB6">
        <w:rPr>
          <w:b/>
          <w:color w:val="000000"/>
        </w:rPr>
        <w:t>ИЗПЪЛНИТЕЛ</w:t>
      </w:r>
      <w:r w:rsidRPr="003A2AB6">
        <w:rPr>
          <w:color w:val="000000"/>
        </w:rPr>
        <w:t>” ,</w:t>
      </w:r>
    </w:p>
    <w:p w:rsidR="00463D75" w:rsidRPr="003A0D78" w:rsidRDefault="00463D75" w:rsidP="00463D75">
      <w:pPr>
        <w:ind w:firstLine="567"/>
        <w:jc w:val="both"/>
      </w:pPr>
    </w:p>
    <w:p w:rsidR="00463D75" w:rsidRPr="003A2AB6" w:rsidRDefault="00463D75" w:rsidP="00463D75">
      <w:pPr>
        <w:ind w:firstLine="567"/>
        <w:jc w:val="both"/>
        <w:rPr>
          <w:color w:val="000000"/>
        </w:rPr>
      </w:pPr>
      <w:r w:rsidRPr="003A2AB6">
        <w:rPr>
          <w:color w:val="000000"/>
        </w:rPr>
        <w:t>се сключи  настоящият договор въз основа  на  Заповед №</w:t>
      </w:r>
      <w:r>
        <w:rPr>
          <w:color w:val="000000"/>
        </w:rPr>
        <w:t>…....</w:t>
      </w:r>
      <w:r w:rsidRPr="003A2AB6">
        <w:rPr>
          <w:color w:val="000000"/>
        </w:rPr>
        <w:t xml:space="preserve"> от </w:t>
      </w:r>
      <w:r>
        <w:rPr>
          <w:color w:val="000000"/>
        </w:rPr>
        <w:t>………………….</w:t>
      </w:r>
      <w:r w:rsidRPr="003A2AB6">
        <w:rPr>
          <w:color w:val="000000"/>
        </w:rPr>
        <w:t xml:space="preserve">. на Кмета на Община </w:t>
      </w:r>
      <w:r w:rsidR="00FD0BD7">
        <w:rPr>
          <w:color w:val="000000"/>
        </w:rPr>
        <w:t>Нови пазар</w:t>
      </w:r>
      <w:r w:rsidRPr="003A2AB6">
        <w:rPr>
          <w:color w:val="000000"/>
        </w:rPr>
        <w:t>:</w:t>
      </w:r>
    </w:p>
    <w:p w:rsidR="00463D75" w:rsidRPr="003A2AB6" w:rsidRDefault="00463D75" w:rsidP="00463D75">
      <w:pPr>
        <w:ind w:firstLine="567"/>
        <w:jc w:val="both"/>
        <w:rPr>
          <w:color w:val="000000"/>
        </w:rPr>
      </w:pPr>
    </w:p>
    <w:p w:rsidR="00463D75" w:rsidRPr="003A2AB6" w:rsidRDefault="00463D75" w:rsidP="00463D75">
      <w:pPr>
        <w:pStyle w:val="3"/>
        <w:ind w:firstLine="567"/>
        <w:jc w:val="center"/>
        <w:rPr>
          <w:szCs w:val="24"/>
        </w:rPr>
      </w:pPr>
      <w:r w:rsidRPr="003A2AB6">
        <w:rPr>
          <w:szCs w:val="24"/>
        </w:rPr>
        <w:t>І. ПРЕДМЕТ НА ДОГОВОРА</w:t>
      </w:r>
    </w:p>
    <w:p w:rsidR="00463D75" w:rsidRPr="003A2AB6" w:rsidRDefault="00463D75" w:rsidP="00463D75">
      <w:pPr>
        <w:ind w:firstLine="567"/>
      </w:pPr>
    </w:p>
    <w:p w:rsidR="00463D75" w:rsidRPr="006D77F1" w:rsidRDefault="00463D75" w:rsidP="00F65D35">
      <w:pPr>
        <w:numPr>
          <w:ilvl w:val="0"/>
          <w:numId w:val="24"/>
        </w:numPr>
        <w:tabs>
          <w:tab w:val="left" w:pos="851"/>
        </w:tabs>
        <w:ind w:left="0" w:firstLine="568"/>
        <w:jc w:val="both"/>
      </w:pPr>
      <w:r w:rsidRPr="003A2AB6">
        <w:rPr>
          <w:b/>
        </w:rPr>
        <w:t>Чл.1</w:t>
      </w:r>
      <w:r w:rsidRPr="003A2AB6">
        <w:t xml:space="preserve"> (1) ВЪЗЛОЖИТЕЛЯТ възлага, а ИЗПЪЛНИТЕЛЯТ се задължава да организира, предоставя и управлява социалната услуга “</w:t>
      </w:r>
      <w:r w:rsidR="00F02BB4">
        <w:t>ЦЕНТЪР</w:t>
      </w:r>
      <w:r>
        <w:t xml:space="preserve"> </w:t>
      </w:r>
      <w:r w:rsidR="00F02BB4">
        <w:t>ЗА ОБЩЕСТВЕНА ПОДКРЕПА” с капацитет 63</w:t>
      </w:r>
      <w:r w:rsidR="00F65D35">
        <w:t xml:space="preserve"> места, </w:t>
      </w:r>
      <w:r w:rsidRPr="003A2AB6">
        <w:t>ко</w:t>
      </w:r>
      <w:r w:rsidR="00F65D35">
        <w:t>и</w:t>
      </w:r>
      <w:r w:rsidRPr="003A2AB6">
        <w:t>то се реализира</w:t>
      </w:r>
      <w:r w:rsidR="00F65D35">
        <w:t>т</w:t>
      </w:r>
      <w:r w:rsidRPr="003A2AB6">
        <w:t xml:space="preserve"> в гр. </w:t>
      </w:r>
      <w:r w:rsidR="00FD0BD7">
        <w:t>Нови пазар</w:t>
      </w:r>
      <w:r w:rsidRPr="003A2AB6">
        <w:t xml:space="preserve">, Община </w:t>
      </w:r>
      <w:r w:rsidR="00FD0BD7">
        <w:t>Нови пазар</w:t>
      </w:r>
      <w:r w:rsidRPr="003A2AB6">
        <w:t xml:space="preserve"> с численост на персонала,</w:t>
      </w:r>
      <w:r w:rsidRPr="006D77F1">
        <w:t xml:space="preserve"> определ</w:t>
      </w:r>
      <w:r>
        <w:t>ена</w:t>
      </w:r>
      <w:r w:rsidRPr="006D77F1">
        <w:t xml:space="preserve"> в съответствие с Методика</w:t>
      </w:r>
      <w:r>
        <w:t>та</w:t>
      </w:r>
      <w:r w:rsidRPr="006D77F1">
        <w:t xml:space="preserve"> за определяне на числеността на персонала на специализираните институции и социалните услуги в </w:t>
      </w:r>
      <w:r w:rsidRPr="006D77F1">
        <w:lastRenderedPageBreak/>
        <w:t>общността, утвърдена от МТСП.</w:t>
      </w:r>
      <w:r w:rsidR="00F65D35">
        <w:t xml:space="preserve"> Възлагането е съгласно представените подробни Формуляри/програми/- Приложение 2.</w:t>
      </w:r>
    </w:p>
    <w:p w:rsidR="00463D75" w:rsidRPr="003A2AB6" w:rsidRDefault="00463D75" w:rsidP="00463D75">
      <w:pPr>
        <w:pStyle w:val="ab"/>
        <w:spacing w:after="0"/>
        <w:ind w:left="0" w:firstLine="851"/>
        <w:jc w:val="both"/>
        <w:rPr>
          <w:szCs w:val="24"/>
        </w:rPr>
      </w:pPr>
      <w:r w:rsidRPr="003A2AB6">
        <w:rPr>
          <w:szCs w:val="24"/>
        </w:rPr>
        <w:t xml:space="preserve">(2) ИЗПЪЛНИТЕЛЯТ  следва да организира </w:t>
      </w:r>
      <w:r>
        <w:rPr>
          <w:szCs w:val="24"/>
        </w:rPr>
        <w:t xml:space="preserve">дейността </w:t>
      </w:r>
      <w:r w:rsidRPr="003A2AB6">
        <w:rPr>
          <w:szCs w:val="24"/>
        </w:rPr>
        <w:t xml:space="preserve">съобразно и в изпълнение на </w:t>
      </w:r>
      <w:r>
        <w:rPr>
          <w:szCs w:val="24"/>
        </w:rPr>
        <w:t>П</w:t>
      </w:r>
      <w:r w:rsidRPr="003A2AB6">
        <w:rPr>
          <w:szCs w:val="24"/>
        </w:rPr>
        <w:t xml:space="preserve">рограмата за развитие на социалната услуга </w:t>
      </w:r>
      <w:r w:rsidR="00ED618B" w:rsidRPr="003A2AB6">
        <w:t>“</w:t>
      </w:r>
      <w:r w:rsidR="00ED618B">
        <w:t xml:space="preserve">Център за </w:t>
      </w:r>
      <w:r w:rsidR="00F02BB4">
        <w:t>обществена подкрепа”</w:t>
      </w:r>
      <w:r>
        <w:rPr>
          <w:i/>
          <w:szCs w:val="24"/>
        </w:rPr>
        <w:t>/</w:t>
      </w:r>
      <w:r w:rsidRPr="00110851">
        <w:rPr>
          <w:i/>
          <w:szCs w:val="24"/>
        </w:rPr>
        <w:t>наричана по долу П</w:t>
      </w:r>
      <w:r>
        <w:rPr>
          <w:i/>
          <w:szCs w:val="24"/>
        </w:rPr>
        <w:t>рограмата</w:t>
      </w:r>
      <w:r w:rsidRPr="00110851">
        <w:rPr>
          <w:i/>
          <w:szCs w:val="24"/>
        </w:rPr>
        <w:t>/</w:t>
      </w:r>
      <w:r>
        <w:rPr>
          <w:szCs w:val="24"/>
        </w:rPr>
        <w:t>,</w:t>
      </w:r>
      <w:r w:rsidRPr="003A2AB6">
        <w:rPr>
          <w:szCs w:val="24"/>
        </w:rPr>
        <w:t xml:space="preserve"> представена от ИЗПЪЛНИТЕЛЯ при кандидатстване в конкурса</w:t>
      </w:r>
      <w:r>
        <w:rPr>
          <w:szCs w:val="24"/>
        </w:rPr>
        <w:t>,</w:t>
      </w:r>
      <w:r w:rsidRPr="003A2AB6">
        <w:rPr>
          <w:szCs w:val="24"/>
        </w:rPr>
        <w:t xml:space="preserve"> организиран от ВЪЗЛОЖИТЕЛЯ. Програмата за развитие на ИЗПЪЛНИТЕЛЯ за предоставяне на социална услуга, представлява неразделна част от настоящия договор.</w:t>
      </w:r>
    </w:p>
    <w:p w:rsidR="00463D75" w:rsidRPr="003A2AB6" w:rsidRDefault="00463D75" w:rsidP="00463D75">
      <w:pPr>
        <w:ind w:firstLine="567"/>
        <w:jc w:val="both"/>
      </w:pPr>
      <w:r w:rsidRPr="003A2AB6">
        <w:t>(3) ИЗПЪЛНИТЕЛЯТ извършва дейностите по програмата за развитие на социалната услуга с необходимата грижа, ефективност, прозрачност и добросъвестност,  съобразно с предвидените критерии и стандарти и в съответствие с настоящия договор и действащото законодателство.</w:t>
      </w:r>
    </w:p>
    <w:p w:rsidR="00463D75" w:rsidRPr="003A2AB6" w:rsidRDefault="00463D75" w:rsidP="00463D75">
      <w:pPr>
        <w:ind w:firstLine="567"/>
        <w:jc w:val="both"/>
      </w:pPr>
      <w:r w:rsidRPr="003A2AB6">
        <w:t>(4) Не се допуска възлагане на дейности от програмата за развитие на социалната услуга, на подизпълнители, както и съвместно предоставяне на услугите с други юридически лица или търговци, освен с изричното писмено одобрение на ВЪЗЛОЖИТЕЛЯ.</w:t>
      </w:r>
    </w:p>
    <w:p w:rsidR="00463D75" w:rsidRPr="003A2AB6" w:rsidRDefault="00463D75" w:rsidP="00463D75">
      <w:pPr>
        <w:ind w:firstLine="567"/>
        <w:jc w:val="both"/>
      </w:pPr>
      <w:r>
        <w:t xml:space="preserve">(5) За изпълнение на програмата за развитие на социалната услуга ИЗПЪЛНИТЕЛЯ изготвя ежегоден доклад до </w:t>
      </w:r>
      <w:r w:rsidRPr="00F62738">
        <w:t xml:space="preserve"> </w:t>
      </w:r>
      <w:r w:rsidRPr="006D55C3">
        <w:t>31 януари</w:t>
      </w:r>
      <w:r>
        <w:t xml:space="preserve"> на следващата година, в който описва постигнати резултати и предложения за актуализиране на Програмата за развитие на социалната услуга. За изменение и актуализиране на Програмата се сключва анекс към настоящият договор.</w:t>
      </w:r>
    </w:p>
    <w:p w:rsidR="00463D75" w:rsidRPr="003A2AB6" w:rsidRDefault="00463D75" w:rsidP="00463D75">
      <w:pPr>
        <w:ind w:firstLine="567"/>
        <w:jc w:val="both"/>
      </w:pPr>
    </w:p>
    <w:p w:rsidR="00463D75" w:rsidRPr="003A2AB6" w:rsidRDefault="00463D75" w:rsidP="00463D75">
      <w:pPr>
        <w:ind w:firstLine="567"/>
        <w:jc w:val="both"/>
        <w:rPr>
          <w:b/>
        </w:rPr>
      </w:pPr>
      <w:r w:rsidRPr="003A2AB6">
        <w:rPr>
          <w:b/>
        </w:rPr>
        <w:t>ІІ.СРОК Н</w:t>
      </w:r>
      <w:r>
        <w:rPr>
          <w:b/>
        </w:rPr>
        <w:t>А</w:t>
      </w:r>
      <w:r w:rsidRPr="003A2AB6">
        <w:rPr>
          <w:b/>
        </w:rPr>
        <w:t xml:space="preserve"> ДОГОВОРА</w:t>
      </w:r>
    </w:p>
    <w:p w:rsidR="00463D75" w:rsidRPr="003A2AB6" w:rsidRDefault="00463D75" w:rsidP="00463D75">
      <w:pPr>
        <w:ind w:firstLine="567"/>
        <w:jc w:val="both"/>
        <w:rPr>
          <w:b/>
        </w:rPr>
      </w:pPr>
    </w:p>
    <w:p w:rsidR="00463D75" w:rsidRPr="003A2AB6" w:rsidRDefault="00463D75" w:rsidP="00463D75">
      <w:pPr>
        <w:ind w:firstLine="567"/>
        <w:jc w:val="both"/>
      </w:pPr>
      <w:r w:rsidRPr="003A2AB6">
        <w:rPr>
          <w:b/>
        </w:rPr>
        <w:t xml:space="preserve">Чл.2 </w:t>
      </w:r>
      <w:r w:rsidRPr="003A2AB6">
        <w:t xml:space="preserve">(1) Настоящият договор се сключва за срок от </w:t>
      </w:r>
      <w:r w:rsidR="009720CB">
        <w:rPr>
          <w:lang w:val="en-US"/>
        </w:rPr>
        <w:t>5</w:t>
      </w:r>
      <w:r w:rsidRPr="003A2AB6">
        <w:t>(</w:t>
      </w:r>
      <w:r w:rsidR="009720CB">
        <w:t>пет</w:t>
      </w:r>
      <w:r w:rsidRPr="003A2AB6">
        <w:t>) години, считано от датата на  подписване.</w:t>
      </w:r>
    </w:p>
    <w:p w:rsidR="00463D75" w:rsidRPr="00F62738" w:rsidRDefault="00463D75" w:rsidP="00463D75">
      <w:pPr>
        <w:ind w:firstLine="567"/>
        <w:jc w:val="both"/>
      </w:pPr>
      <w:r w:rsidRPr="00F62738">
        <w:t xml:space="preserve"> (2) Изпълнението на програмата за развитие на социалн</w:t>
      </w:r>
      <w:r w:rsidR="00FD0BD7">
        <w:t xml:space="preserve">ата </w:t>
      </w:r>
      <w:r w:rsidR="006E6448">
        <w:t>услуга започва от ……………………..201</w:t>
      </w:r>
      <w:r w:rsidR="00F02BB4">
        <w:t>8</w:t>
      </w:r>
      <w:r w:rsidR="00FD0BD7">
        <w:t xml:space="preserve"> </w:t>
      </w:r>
      <w:r w:rsidRPr="00F62738">
        <w:t>г., съобразно графика на дейностите, посочени в програмата, като при необходимост се актуализира ежегодно.</w:t>
      </w:r>
    </w:p>
    <w:p w:rsidR="00463D75" w:rsidRPr="00F62738" w:rsidRDefault="00463D75" w:rsidP="00463D75">
      <w:pPr>
        <w:ind w:firstLine="567"/>
        <w:jc w:val="both"/>
      </w:pPr>
    </w:p>
    <w:p w:rsidR="00463D75" w:rsidRPr="00F62738" w:rsidRDefault="00463D75" w:rsidP="00463D75">
      <w:pPr>
        <w:ind w:firstLine="567"/>
        <w:jc w:val="both"/>
        <w:rPr>
          <w:b/>
        </w:rPr>
      </w:pPr>
      <w:r w:rsidRPr="00F62738">
        <w:rPr>
          <w:b/>
        </w:rPr>
        <w:t>ІІІ. ФИНАНСИРАНЕ И НАЧИН НА ПЛАЩАНЕ</w:t>
      </w:r>
    </w:p>
    <w:p w:rsidR="00463D75" w:rsidRPr="00F62738" w:rsidRDefault="00463D75" w:rsidP="00463D75">
      <w:pPr>
        <w:ind w:firstLine="567"/>
        <w:jc w:val="both"/>
        <w:rPr>
          <w:b/>
        </w:rPr>
      </w:pPr>
    </w:p>
    <w:p w:rsidR="00463D75" w:rsidRPr="00CC1539" w:rsidRDefault="00463D75" w:rsidP="00463D75">
      <w:pPr>
        <w:ind w:firstLine="567"/>
        <w:jc w:val="both"/>
        <w:rPr>
          <w:b/>
        </w:rPr>
      </w:pPr>
      <w:r w:rsidRPr="00F62738">
        <w:rPr>
          <w:b/>
        </w:rPr>
        <w:t>Чл.3</w:t>
      </w:r>
      <w:r w:rsidRPr="00F62738">
        <w:t xml:space="preserve"> (1) За обезпечаване предоставянето на социалните услуги и за изпълнението на програмата на ИЗПЪЛНИТЕЛЯ за развитие на социалната услуга, предмет на настоящия договор, ВЪЗЛОЖИТЕЛЯТ предоставя на ИЗПЪЛНИТЕЛЯ оставащата сума от бюджетната субсидия</w:t>
      </w:r>
      <w:r w:rsidR="006E6448">
        <w:t xml:space="preserve"> за издръжка за финансовата 201</w:t>
      </w:r>
      <w:r w:rsidR="00F02BB4">
        <w:t>8</w:t>
      </w:r>
      <w:r w:rsidRPr="00F62738">
        <w:t xml:space="preserve"> год., възлизаща на </w:t>
      </w:r>
      <w:r w:rsidR="004F184F" w:rsidRPr="004F184F">
        <w:rPr>
          <w:b/>
          <w:lang w:val="en-US"/>
        </w:rPr>
        <w:t>138 033</w:t>
      </w:r>
      <w:r w:rsidR="00EE673B" w:rsidRPr="004F184F">
        <w:rPr>
          <w:b/>
        </w:rPr>
        <w:t xml:space="preserve"> </w:t>
      </w:r>
      <w:r w:rsidRPr="004F184F">
        <w:rPr>
          <w:b/>
        </w:rPr>
        <w:t>лв.</w:t>
      </w:r>
      <w:r w:rsidRPr="00CC1539">
        <w:rPr>
          <w:b/>
        </w:rPr>
        <w:t xml:space="preserve"> (</w:t>
      </w:r>
      <w:r w:rsidR="00EE673B" w:rsidRPr="00CC1539">
        <w:rPr>
          <w:b/>
        </w:rPr>
        <w:t xml:space="preserve">Сто </w:t>
      </w:r>
      <w:r w:rsidR="004F184F">
        <w:rPr>
          <w:b/>
        </w:rPr>
        <w:t xml:space="preserve"> тридесет и  осем хиляди и тридесет и три лева)</w:t>
      </w:r>
      <w:r w:rsidRPr="00CC1539">
        <w:rPr>
          <w:b/>
        </w:rPr>
        <w:t xml:space="preserve">, определена с Решение № </w:t>
      </w:r>
      <w:r w:rsidR="00EE673B" w:rsidRPr="00CC1539">
        <w:rPr>
          <w:b/>
        </w:rPr>
        <w:t>667 от 01</w:t>
      </w:r>
      <w:r w:rsidR="006E6448" w:rsidRPr="00CC1539">
        <w:rPr>
          <w:b/>
        </w:rPr>
        <w:t>.11.201</w:t>
      </w:r>
      <w:r w:rsidR="00EE673B" w:rsidRPr="00CC1539">
        <w:rPr>
          <w:b/>
        </w:rPr>
        <w:t>7</w:t>
      </w:r>
      <w:r w:rsidR="00E968F2" w:rsidRPr="00CC1539">
        <w:rPr>
          <w:b/>
          <w:color w:val="000000"/>
        </w:rPr>
        <w:t xml:space="preserve"> г., </w:t>
      </w:r>
      <w:r w:rsidRPr="00CC1539">
        <w:rPr>
          <w:b/>
        </w:rPr>
        <w:t xml:space="preserve">на МС, считано от </w:t>
      </w:r>
      <w:r w:rsidR="00ED4429">
        <w:rPr>
          <w:b/>
        </w:rPr>
        <w:t xml:space="preserve">01.04.2018 г. </w:t>
      </w:r>
      <w:r w:rsidR="00EE673B" w:rsidRPr="00CC1539">
        <w:rPr>
          <w:b/>
        </w:rPr>
        <w:t>до 31.12.2018</w:t>
      </w:r>
      <w:r w:rsidR="00E968F2" w:rsidRPr="00CC1539">
        <w:rPr>
          <w:b/>
        </w:rPr>
        <w:t xml:space="preserve"> </w:t>
      </w:r>
      <w:r w:rsidRPr="00CC1539">
        <w:rPr>
          <w:b/>
        </w:rPr>
        <w:t>г.</w:t>
      </w:r>
    </w:p>
    <w:p w:rsidR="00463D75" w:rsidRPr="00F62738" w:rsidRDefault="00463D75" w:rsidP="00463D75">
      <w:pPr>
        <w:ind w:firstLine="567"/>
        <w:jc w:val="both"/>
      </w:pPr>
      <w:r w:rsidRPr="00F62738">
        <w:t>(2) За всяка календарна година се определя размера на финансиране от страна на ВЪЗЛОЖИТЕЛЯ на база установените за бюджетната финансова година стандарти за издръжка на делегираните от държавата дейности с Решение на Министерски съвет. Субсидията се актуализира, съобразно стандартите, с анекс към договора. Във всеки анекс се определят реда и сроковете за плащане на предвидената бюджетна субсидия за издръжка на социалната услуга, като делегирана от държавата дейност.</w:t>
      </w:r>
    </w:p>
    <w:p w:rsidR="00463D75" w:rsidRPr="003A2AB6" w:rsidRDefault="00463D75" w:rsidP="00463D75">
      <w:pPr>
        <w:ind w:firstLine="567"/>
        <w:jc w:val="both"/>
        <w:rPr>
          <w:b/>
          <w:lang w:val="ru-RU"/>
        </w:rPr>
      </w:pPr>
      <w:r w:rsidRPr="00F62738">
        <w:t xml:space="preserve"> (3) ВЪЗЛОЖИТЕЛЯТ ще извършва плащанията по ал.1 ежемесечно до 10- то число на текущия месец,  срещу представена от ИЗПЪЛНИТЕЛЯ фактура до 5 (пето) число на същия месец, по сметка ………………………………………….. на</w:t>
      </w:r>
      <w:r>
        <w:t xml:space="preserve"> ИЗПЪЛНИТЕЛЯ</w:t>
      </w:r>
    </w:p>
    <w:p w:rsidR="00463D75" w:rsidRPr="003A2AB6" w:rsidRDefault="00463D75" w:rsidP="00463D75">
      <w:pPr>
        <w:ind w:firstLine="567"/>
        <w:jc w:val="both"/>
        <w:rPr>
          <w:color w:val="000000"/>
        </w:rPr>
      </w:pPr>
      <w:r w:rsidRPr="003A2AB6">
        <w:rPr>
          <w:color w:val="000000"/>
        </w:rPr>
        <w:lastRenderedPageBreak/>
        <w:t>(</w:t>
      </w:r>
      <w:r>
        <w:rPr>
          <w:color w:val="000000"/>
        </w:rPr>
        <w:t>4</w:t>
      </w:r>
      <w:r w:rsidRPr="003A2AB6">
        <w:rPr>
          <w:color w:val="000000"/>
        </w:rPr>
        <w:t xml:space="preserve">) </w:t>
      </w:r>
      <w:r w:rsidRPr="003A2AB6">
        <w:rPr>
          <w:bCs/>
          <w:color w:val="000000"/>
        </w:rPr>
        <w:t>ИЗПЪЛНИТЕЛЯТ</w:t>
      </w:r>
      <w:r w:rsidRPr="003A2AB6">
        <w:rPr>
          <w:color w:val="000000"/>
        </w:rPr>
        <w:t xml:space="preserve"> се задължава да разходва средствата, получени от ВЪЗЛОЖИТЕЛЯ в съответствие с бюджета, описан в програмата за развитие на социалната  услуга, представляваща неразделна част от настоящия договор.</w:t>
      </w:r>
    </w:p>
    <w:p w:rsidR="00463D75" w:rsidRPr="00D57676" w:rsidRDefault="00463D75" w:rsidP="00463D75">
      <w:pPr>
        <w:ind w:firstLine="567"/>
        <w:jc w:val="both"/>
      </w:pPr>
      <w:r w:rsidRPr="00D57676">
        <w:t>(5) ИЗПЪЛНИТЕЛЯТ е длъжен  да представя ежемесечно анализ за изпълнение на дейността и отчет на изразходените средства по параграфи на ЕБК (приложение  към договора) до 3 (трето) число на следващия месец, както и екземпляр от годишния отчет на сдружението, за  календарната година  в срок до 20 февруари на следващата година.</w:t>
      </w:r>
    </w:p>
    <w:p w:rsidR="00463D75" w:rsidRPr="00D57676" w:rsidRDefault="00463D75" w:rsidP="00463D75">
      <w:pPr>
        <w:ind w:firstLine="567"/>
        <w:jc w:val="both"/>
      </w:pPr>
      <w:r w:rsidRPr="00D57676">
        <w:t xml:space="preserve">(6) Представяната информация трябва да обхваща всички аспекти от изпълнението на програмата за развитие на социалната услуга и да дава възможност за сравнение между: предвидените средства, направените разходи и постигнатите резултати. </w:t>
      </w:r>
    </w:p>
    <w:p w:rsidR="00463D75" w:rsidRPr="003A2AB6" w:rsidRDefault="00463D75" w:rsidP="00463D75">
      <w:pPr>
        <w:ind w:firstLine="567"/>
        <w:jc w:val="both"/>
      </w:pPr>
      <w:r w:rsidRPr="00D57676">
        <w:rPr>
          <w:lang w:val="ru-RU"/>
        </w:rPr>
        <w:t>(7</w:t>
      </w:r>
      <w:r w:rsidRPr="00D57676">
        <w:t>) ВЪЗЛОЖИТЕЛЯТ може да поиска допълнителна информация по всяко време,  със срок на представяне  5 /пет/ дни.</w:t>
      </w:r>
      <w:r w:rsidRPr="003A2AB6">
        <w:t xml:space="preserve"> </w:t>
      </w:r>
    </w:p>
    <w:p w:rsidR="00463D75" w:rsidRPr="007B7B7F" w:rsidRDefault="00463D75" w:rsidP="00463D75">
      <w:pPr>
        <w:ind w:firstLine="567"/>
        <w:jc w:val="both"/>
      </w:pPr>
      <w:r w:rsidRPr="003A2AB6">
        <w:t>(</w:t>
      </w:r>
      <w:r>
        <w:t>8</w:t>
      </w:r>
      <w:r w:rsidRPr="003A2AB6">
        <w:t>) За допустими разходи на ИЗПЪЛНИТЕЛЯ се приемат</w:t>
      </w:r>
      <w:r w:rsidRPr="007B7B7F">
        <w:t xml:space="preserve">: разходи за издръжка на </w:t>
      </w:r>
      <w:r w:rsidR="009A1A8E" w:rsidRPr="007B7B7F">
        <w:t xml:space="preserve">потребителите </w:t>
      </w:r>
      <w:r w:rsidRPr="007B7B7F">
        <w:t>по перата на предвидените стандарти за делегирани държавни дейности -</w:t>
      </w:r>
      <w:r w:rsidR="00D36C34" w:rsidRPr="007B7B7F">
        <w:t xml:space="preserve"> услуга</w:t>
      </w:r>
      <w:r w:rsidR="00113AD4" w:rsidRPr="007B7B7F">
        <w:t xml:space="preserve"> „</w:t>
      </w:r>
      <w:r w:rsidR="009A1A8E" w:rsidRPr="007B7B7F">
        <w:t>Център за обществена подкрепа”</w:t>
      </w:r>
      <w:r w:rsidR="00113AD4" w:rsidRPr="007B7B7F">
        <w:t>,  Община Нови пазар</w:t>
      </w:r>
      <w:r w:rsidRPr="007B7B7F">
        <w:t xml:space="preserve"> съответно  в рамките на утвърдения за годината бюджет.</w:t>
      </w:r>
    </w:p>
    <w:p w:rsidR="00463D75" w:rsidRPr="007B7B7F" w:rsidRDefault="00463D75" w:rsidP="00463D75">
      <w:pPr>
        <w:ind w:firstLine="567"/>
        <w:jc w:val="both"/>
      </w:pPr>
      <w:r w:rsidRPr="007B7B7F">
        <w:t xml:space="preserve">(9) </w:t>
      </w:r>
      <w:r w:rsidR="007B7B7F" w:rsidRPr="007B7B7F">
        <w:t>Ежемесечния</w:t>
      </w:r>
      <w:r w:rsidRPr="007B7B7F">
        <w:t xml:space="preserve"> отчет се представят пред Директора на Дирекция „ФСД и УС” и се одобряват в срок от 5 /пет/ дни.</w:t>
      </w:r>
    </w:p>
    <w:p w:rsidR="00463D75" w:rsidRPr="007B7B7F" w:rsidRDefault="00463D75" w:rsidP="00463D75">
      <w:pPr>
        <w:ind w:firstLine="567"/>
        <w:jc w:val="both"/>
      </w:pPr>
      <w:r w:rsidRPr="007B7B7F">
        <w:t xml:space="preserve">(10) Щатният персонал на </w:t>
      </w:r>
      <w:r w:rsidR="00D36C34" w:rsidRPr="007B7B7F">
        <w:t xml:space="preserve">услуга „Център за </w:t>
      </w:r>
      <w:r w:rsidR="00F02BB4" w:rsidRPr="007B7B7F">
        <w:t>обществена подкрепа”</w:t>
      </w:r>
      <w:r w:rsidR="009314BC" w:rsidRPr="007B7B7F">
        <w:t xml:space="preserve"> </w:t>
      </w:r>
      <w:r w:rsidRPr="007B7B7F">
        <w:t>се назначава от ИЗПЪЛНИТЕЛЯ. ВЪЗЛОЖИТЕЛЯТ се задължава да превежда в срока по чл.3, ал.3, съответната част от сумата изчислена по стандарта, включващ средствата за издръжка и средствата за възнаграждения на персонала.</w:t>
      </w:r>
    </w:p>
    <w:p w:rsidR="00463D75" w:rsidRDefault="00463D75" w:rsidP="00463D75">
      <w:pPr>
        <w:tabs>
          <w:tab w:val="left" w:pos="720"/>
        </w:tabs>
        <w:ind w:firstLine="567"/>
        <w:jc w:val="both"/>
        <w:rPr>
          <w:color w:val="000000"/>
        </w:rPr>
      </w:pPr>
      <w:r w:rsidRPr="003A2AB6">
        <w:rPr>
          <w:color w:val="000000"/>
        </w:rPr>
        <w:t>(1</w:t>
      </w:r>
      <w:r>
        <w:rPr>
          <w:color w:val="000000"/>
        </w:rPr>
        <w:t>1</w:t>
      </w:r>
      <w:r w:rsidRPr="003A2AB6">
        <w:rPr>
          <w:color w:val="000000"/>
        </w:rPr>
        <w:t xml:space="preserve">) Непредвиждането на средства в държавния бюджет за финансовите </w:t>
      </w:r>
      <w:r w:rsidR="00F02BB4">
        <w:rPr>
          <w:color w:val="000000"/>
        </w:rPr>
        <w:t xml:space="preserve">от 2018 </w:t>
      </w:r>
      <w:r>
        <w:rPr>
          <w:color w:val="000000"/>
        </w:rPr>
        <w:t>г.</w:t>
      </w:r>
      <w:r w:rsidR="00F02BB4">
        <w:rPr>
          <w:color w:val="000000"/>
        </w:rPr>
        <w:t xml:space="preserve"> до 2021</w:t>
      </w:r>
      <w:r w:rsidRPr="003A2AB6">
        <w:rPr>
          <w:color w:val="000000"/>
        </w:rPr>
        <w:t xml:space="preserve"> година за издръжка на социалната услуга, предоставяна в общността </w:t>
      </w:r>
      <w:r w:rsidR="00D36C34" w:rsidRPr="003A2AB6">
        <w:t xml:space="preserve">услуга </w:t>
      </w:r>
      <w:r w:rsidR="00F02BB4">
        <w:t xml:space="preserve">Център за обществена подкрепа, </w:t>
      </w:r>
      <w:r w:rsidRPr="003A2AB6">
        <w:rPr>
          <w:color w:val="000000"/>
        </w:rPr>
        <w:t xml:space="preserve">като делегирана </w:t>
      </w:r>
      <w:r>
        <w:rPr>
          <w:color w:val="000000"/>
        </w:rPr>
        <w:t xml:space="preserve">от </w:t>
      </w:r>
      <w:r w:rsidRPr="003A2AB6">
        <w:rPr>
          <w:color w:val="000000"/>
        </w:rPr>
        <w:t>държав</w:t>
      </w:r>
      <w:r>
        <w:rPr>
          <w:color w:val="000000"/>
        </w:rPr>
        <w:t>ата</w:t>
      </w:r>
      <w:r w:rsidRPr="003A2AB6">
        <w:rPr>
          <w:color w:val="000000"/>
        </w:rPr>
        <w:t xml:space="preserve"> дейност, освобождава Община </w:t>
      </w:r>
      <w:r w:rsidR="00D36C34">
        <w:rPr>
          <w:color w:val="000000"/>
        </w:rPr>
        <w:t>Нови пазар</w:t>
      </w:r>
      <w:r w:rsidRPr="003A2AB6">
        <w:rPr>
          <w:color w:val="000000"/>
        </w:rPr>
        <w:t xml:space="preserve"> от отговорност за предоставяне на финансова субсидия.</w:t>
      </w:r>
    </w:p>
    <w:p w:rsidR="00463D75" w:rsidRPr="003A2AB6" w:rsidRDefault="00463D75" w:rsidP="001D2DE4">
      <w:pPr>
        <w:jc w:val="both"/>
      </w:pPr>
      <w:r>
        <w:t xml:space="preserve">(12) </w:t>
      </w:r>
      <w:r w:rsidRPr="003A2AB6">
        <w:t>В случаите, когато ВЪЗЛОЖИТЕЛЯТ е възпрепятстван да осигури договореното финансиране, или се забави с изпълнението му, с оглед не прекъсване на дейността, ИЗПЪЛНИТЕЛЯ има право да ползва собствени средства, акумулирани от спонсорство, помощи, дарения и др., включително от чужбина. В този случай ВЪЗЛОЖИТЕЛЯ дължи пълната стойност на вложените средства от ИЗПЪЛНИТЕЛЯ, като възстановяването им се извършва с първата следваща субсидия за съответния период.</w:t>
      </w:r>
      <w:r w:rsidR="00605CD9">
        <w:t xml:space="preserve"> Средствата се предоставят по банковата сметка на ИЗПЪЛНИТЕЛЯ.</w:t>
      </w:r>
    </w:p>
    <w:p w:rsidR="00463D75" w:rsidRPr="003A2AB6" w:rsidRDefault="00463D75" w:rsidP="00463D75">
      <w:pPr>
        <w:tabs>
          <w:tab w:val="left" w:pos="720"/>
        </w:tabs>
        <w:ind w:firstLine="567"/>
        <w:jc w:val="both"/>
        <w:rPr>
          <w:color w:val="000000"/>
        </w:rPr>
      </w:pPr>
    </w:p>
    <w:p w:rsidR="00463D75" w:rsidRPr="003A2AB6" w:rsidRDefault="00463D75" w:rsidP="00463D75">
      <w:pPr>
        <w:ind w:firstLine="567"/>
        <w:jc w:val="both"/>
        <w:rPr>
          <w:b/>
        </w:rPr>
      </w:pPr>
      <w:r w:rsidRPr="003A2AB6">
        <w:rPr>
          <w:b/>
        </w:rPr>
        <w:t>ІV. ПРАВА И ЗАДЪЛЖЕНИЯ НА СТРАНИТЕ</w:t>
      </w:r>
    </w:p>
    <w:p w:rsidR="00463D75" w:rsidRPr="003A2AB6" w:rsidRDefault="00463D75" w:rsidP="00463D75">
      <w:pPr>
        <w:ind w:firstLine="567"/>
        <w:jc w:val="both"/>
        <w:rPr>
          <w:b/>
        </w:rPr>
      </w:pPr>
    </w:p>
    <w:p w:rsidR="00463D75" w:rsidRPr="003A2AB6" w:rsidRDefault="00463D75" w:rsidP="00463D75">
      <w:pPr>
        <w:ind w:firstLine="567"/>
        <w:jc w:val="both"/>
      </w:pPr>
      <w:r w:rsidRPr="003A2AB6">
        <w:rPr>
          <w:b/>
        </w:rPr>
        <w:tab/>
        <w:t>Чл.4</w:t>
      </w:r>
      <w:r>
        <w:rPr>
          <w:b/>
        </w:rPr>
        <w:t xml:space="preserve"> </w:t>
      </w:r>
      <w:r w:rsidRPr="003A2AB6">
        <w:t>(1) ВЪЗЛОЖИТЕЛЯТ се задължава да предостави финансирането  съгласно уговореното в раздел III от договора.</w:t>
      </w:r>
    </w:p>
    <w:p w:rsidR="00463D75" w:rsidRPr="003A2AB6" w:rsidRDefault="00463D75" w:rsidP="00463D75">
      <w:pPr>
        <w:ind w:firstLine="567"/>
        <w:jc w:val="both"/>
      </w:pPr>
      <w:r w:rsidRPr="003A2AB6">
        <w:t>(2) ВЪЗЛОЖИТЕЛЯТ се задължава да оказва на ИЗПЪЛНИТЕЛЯ необходимото съдействие за предоставяне на услугите и изпълнението на програмата.</w:t>
      </w:r>
    </w:p>
    <w:p w:rsidR="00463D75" w:rsidRPr="003A2AB6" w:rsidRDefault="00463D75" w:rsidP="00463D75">
      <w:pPr>
        <w:ind w:firstLine="567"/>
        <w:jc w:val="both"/>
      </w:pPr>
      <w:r w:rsidRPr="003A2AB6">
        <w:rPr>
          <w:b/>
        </w:rPr>
        <w:tab/>
        <w:t>Чл.5</w:t>
      </w:r>
      <w:r w:rsidRPr="003A2AB6">
        <w:t xml:space="preserve"> (1) ВЪЗЛОЖИТЕЛЯТ има право:</w:t>
      </w:r>
    </w:p>
    <w:p w:rsidR="00463D75" w:rsidRPr="003A2AB6" w:rsidRDefault="00463D75" w:rsidP="00463D75">
      <w:pPr>
        <w:tabs>
          <w:tab w:val="left" w:pos="1560"/>
        </w:tabs>
        <w:ind w:firstLine="1276"/>
        <w:jc w:val="both"/>
        <w:rPr>
          <w:i/>
        </w:rPr>
      </w:pPr>
      <w:r w:rsidRPr="003A2AB6">
        <w:t xml:space="preserve">1. да осъществява </w:t>
      </w:r>
      <w:r>
        <w:t xml:space="preserve">тематични и комплексни </w:t>
      </w:r>
      <w:r w:rsidRPr="003A2AB6">
        <w:t>проверки върху начина на използване на предоставеното от него финансиране, включително да извършва проверки по спазване на действащото законодателство</w:t>
      </w:r>
      <w:r w:rsidRPr="003A2AB6">
        <w:rPr>
          <w:i/>
        </w:rPr>
        <w:t>;</w:t>
      </w:r>
    </w:p>
    <w:p w:rsidR="00463D75" w:rsidRPr="003A2AB6" w:rsidRDefault="00463D75" w:rsidP="00463D75">
      <w:pPr>
        <w:numPr>
          <w:ilvl w:val="0"/>
          <w:numId w:val="22"/>
        </w:numPr>
        <w:tabs>
          <w:tab w:val="clear" w:pos="1080"/>
          <w:tab w:val="num" w:pos="851"/>
          <w:tab w:val="left" w:pos="1560"/>
        </w:tabs>
        <w:ind w:left="0" w:firstLine="1276"/>
        <w:jc w:val="both"/>
      </w:pPr>
      <w:r w:rsidRPr="003A2AB6">
        <w:t>да извършва проверка за качеството на предоставяните от ИЗПЪЛНИТЕЛЯ социални услуги във връзка със законово установените критерии и стандарти;</w:t>
      </w:r>
    </w:p>
    <w:p w:rsidR="00463D75" w:rsidRPr="003A2AB6" w:rsidRDefault="00463D75" w:rsidP="00463D75">
      <w:pPr>
        <w:numPr>
          <w:ilvl w:val="0"/>
          <w:numId w:val="22"/>
        </w:numPr>
        <w:tabs>
          <w:tab w:val="clear" w:pos="1080"/>
          <w:tab w:val="num" w:pos="851"/>
          <w:tab w:val="left" w:pos="1560"/>
        </w:tabs>
        <w:ind w:left="0" w:firstLine="1276"/>
        <w:jc w:val="both"/>
      </w:pPr>
      <w:r w:rsidRPr="003A2AB6">
        <w:lastRenderedPageBreak/>
        <w:t>да осъществява цялостен контрол за изпълнението на програмата за предоставяне на  социални услуги, предоставен от ИЗПЪЛНИТЕЛЯ и представляващ неразделна част от договора;</w:t>
      </w:r>
    </w:p>
    <w:p w:rsidR="00463D75" w:rsidRPr="003A2AB6" w:rsidRDefault="00463D75" w:rsidP="00463D75">
      <w:pPr>
        <w:numPr>
          <w:ilvl w:val="0"/>
          <w:numId w:val="22"/>
        </w:numPr>
        <w:tabs>
          <w:tab w:val="clear" w:pos="1080"/>
          <w:tab w:val="num" w:pos="851"/>
          <w:tab w:val="left" w:pos="1560"/>
        </w:tabs>
        <w:ind w:left="1276" w:firstLine="0"/>
        <w:jc w:val="both"/>
      </w:pPr>
      <w:r w:rsidRPr="003A2AB6">
        <w:t>да информира обществеността за предоставеното финансиране.</w:t>
      </w:r>
    </w:p>
    <w:p w:rsidR="00463D75" w:rsidRPr="003A2AB6" w:rsidRDefault="00463D75" w:rsidP="00463D75">
      <w:pPr>
        <w:tabs>
          <w:tab w:val="num" w:pos="851"/>
        </w:tabs>
        <w:ind w:firstLine="567"/>
        <w:jc w:val="both"/>
      </w:pPr>
      <w:r w:rsidRPr="003A2AB6">
        <w:t>(2) При неизпълнение на задълженията на ИЗПЪЛНИТЕЛЯ, ВЪЗЛОЖИТЕЛЯТ има право:</w:t>
      </w:r>
    </w:p>
    <w:p w:rsidR="00463D75" w:rsidRPr="003A2AB6" w:rsidRDefault="00463D75" w:rsidP="00463D75">
      <w:pPr>
        <w:tabs>
          <w:tab w:val="left" w:pos="1560"/>
        </w:tabs>
        <w:ind w:left="-120" w:firstLine="1396"/>
        <w:jc w:val="both"/>
      </w:pPr>
      <w:r>
        <w:t xml:space="preserve">1. </w:t>
      </w:r>
      <w:r w:rsidRPr="003A2AB6">
        <w:t>да спре финансирането при доказано нарушение на бюджетната  дисциплина от ИЗПЪЛНИТЕЛЯ, до неговото отстраняване;</w:t>
      </w:r>
    </w:p>
    <w:p w:rsidR="00463D75" w:rsidRPr="003A2AB6" w:rsidRDefault="00463D75" w:rsidP="00463D75">
      <w:pPr>
        <w:tabs>
          <w:tab w:val="left" w:pos="1560"/>
        </w:tabs>
        <w:ind w:firstLine="1276"/>
        <w:jc w:val="both"/>
      </w:pPr>
      <w:r>
        <w:t xml:space="preserve">2. </w:t>
      </w:r>
      <w:r w:rsidRPr="003A2AB6">
        <w:t>да изисква възстановяване на средства, при условията на настоящия договор, както и да предяви иск срещу ИЗПЪЛНИТЕЛЯ;</w:t>
      </w:r>
    </w:p>
    <w:p w:rsidR="00463D75" w:rsidRPr="003A2AB6" w:rsidRDefault="00463D75" w:rsidP="00463D75">
      <w:pPr>
        <w:tabs>
          <w:tab w:val="left" w:pos="1560"/>
        </w:tabs>
        <w:ind w:firstLine="1276"/>
        <w:jc w:val="both"/>
      </w:pPr>
      <w:r w:rsidRPr="003A2AB6">
        <w:t>3. да уведоми обществеността по подходящ начин за неизпълнението на договора;</w:t>
      </w:r>
    </w:p>
    <w:p w:rsidR="00463D75" w:rsidRPr="003A2AB6" w:rsidRDefault="00463D75" w:rsidP="00463D75">
      <w:pPr>
        <w:tabs>
          <w:tab w:val="left" w:pos="1560"/>
        </w:tabs>
        <w:ind w:firstLine="1276"/>
        <w:jc w:val="both"/>
      </w:pPr>
      <w:r w:rsidRPr="003A2AB6">
        <w:t xml:space="preserve">4. да сезира Агенция за социално подпомагане и </w:t>
      </w:r>
      <w:r w:rsidRPr="00857B6F">
        <w:t>Държавната агенция за закрила на детето</w:t>
      </w:r>
      <w:r w:rsidRPr="003A2AB6">
        <w:t xml:space="preserve"> и други заинтересувани институции при неизпълнение на установените стандарти и критерии;</w:t>
      </w:r>
    </w:p>
    <w:p w:rsidR="00463D75" w:rsidRPr="003A2AB6" w:rsidRDefault="00463D75" w:rsidP="00463D75">
      <w:pPr>
        <w:tabs>
          <w:tab w:val="left" w:pos="1560"/>
        </w:tabs>
        <w:ind w:firstLine="1276"/>
        <w:jc w:val="both"/>
      </w:pPr>
      <w:r w:rsidRPr="003A2AB6">
        <w:t>5. да сезира данъчните служби с цел проверка на данъчния статус на ИЗПЪЛНИТЕЛЯ и разходването на предоставените средства.</w:t>
      </w:r>
    </w:p>
    <w:p w:rsidR="00463D75" w:rsidRDefault="00463D75" w:rsidP="00463D75">
      <w:pPr>
        <w:ind w:firstLine="567"/>
        <w:jc w:val="both"/>
        <w:rPr>
          <w:b/>
        </w:rPr>
      </w:pPr>
    </w:p>
    <w:p w:rsidR="00463D75" w:rsidRPr="003A2AB6" w:rsidRDefault="00463D75" w:rsidP="00463D75">
      <w:pPr>
        <w:ind w:firstLine="567"/>
        <w:jc w:val="both"/>
      </w:pPr>
      <w:r w:rsidRPr="003A2AB6">
        <w:rPr>
          <w:b/>
        </w:rPr>
        <w:t>Чл.6</w:t>
      </w:r>
      <w:r w:rsidRPr="003A2AB6">
        <w:t xml:space="preserve"> ИЗПЪЛНИТ</w:t>
      </w:r>
      <w:r>
        <w:t>Е</w:t>
      </w:r>
      <w:r w:rsidRPr="003A2AB6">
        <w:t>ЛЯТ се задължава:</w:t>
      </w:r>
    </w:p>
    <w:p w:rsidR="00463D75" w:rsidRPr="003A2AB6" w:rsidRDefault="00463D75" w:rsidP="00463D75">
      <w:pPr>
        <w:numPr>
          <w:ilvl w:val="0"/>
          <w:numId w:val="23"/>
        </w:numPr>
        <w:tabs>
          <w:tab w:val="left" w:pos="851"/>
        </w:tabs>
        <w:ind w:left="0" w:firstLine="567"/>
        <w:jc w:val="both"/>
      </w:pPr>
      <w:r w:rsidRPr="003A2AB6">
        <w:t>да предоставя социалните услуги, предмет на настоящия договор съобразно представената от него програма за развитие на социални услуги, представляваща неразделна част от договора, при спазване на посочения в нея график на дейностите и формиран бюджет;</w:t>
      </w:r>
    </w:p>
    <w:p w:rsidR="00463D75" w:rsidRDefault="00463D75" w:rsidP="00463D75">
      <w:pPr>
        <w:numPr>
          <w:ilvl w:val="0"/>
          <w:numId w:val="23"/>
        </w:numPr>
        <w:tabs>
          <w:tab w:val="left" w:pos="851"/>
        </w:tabs>
        <w:ind w:left="0" w:firstLine="567"/>
        <w:jc w:val="both"/>
      </w:pPr>
      <w:r w:rsidRPr="003A2AB6">
        <w:t xml:space="preserve">да </w:t>
      </w:r>
      <w:r>
        <w:t xml:space="preserve">актуализира предоставената от него Програма и </w:t>
      </w:r>
      <w:r w:rsidRPr="003A2AB6">
        <w:t>предоставя социалните услуги, предмет на настоящия договор в съответствие с установените в нормативните актове,  критерии и стандарти за качество;</w:t>
      </w:r>
    </w:p>
    <w:p w:rsidR="00463D75" w:rsidRDefault="00463D75" w:rsidP="00463D75">
      <w:pPr>
        <w:numPr>
          <w:ilvl w:val="0"/>
          <w:numId w:val="23"/>
        </w:numPr>
        <w:tabs>
          <w:tab w:val="left" w:pos="851"/>
        </w:tabs>
        <w:ind w:left="0" w:firstLine="567"/>
        <w:jc w:val="both"/>
      </w:pPr>
      <w:r>
        <w:t xml:space="preserve">Да разходва финансовите средства, получени от ВЪЗЛОЖИТЕЛЯ по чл. 3, ал.1 и ал.2 от настоящия договор, в съответствие </w:t>
      </w:r>
      <w:r w:rsidRPr="00CD7087">
        <w:t>с утвърдения бюджет, предложен</w:t>
      </w:r>
      <w:r>
        <w:t xml:space="preserve"> от ИЗПЪЛНИТЕЛЯ за съответната бюджетна година. </w:t>
      </w:r>
    </w:p>
    <w:p w:rsidR="001F5338" w:rsidRPr="002C45E1" w:rsidRDefault="00463D75" w:rsidP="00463D75">
      <w:pPr>
        <w:numPr>
          <w:ilvl w:val="0"/>
          <w:numId w:val="23"/>
        </w:numPr>
        <w:tabs>
          <w:tab w:val="left" w:pos="851"/>
        </w:tabs>
        <w:ind w:left="0" w:firstLine="567"/>
        <w:jc w:val="both"/>
      </w:pPr>
      <w:r w:rsidRPr="002C45E1">
        <w:t>Да предоставя на В</w:t>
      </w:r>
      <w:r w:rsidR="00F40FEC" w:rsidRPr="002C45E1">
        <w:t>ЪЗЛОЖИТЕЛЯ ежемесечно /</w:t>
      </w:r>
      <w:r w:rsidR="002C45E1" w:rsidRPr="002C45E1">
        <w:t>до 3</w:t>
      </w:r>
      <w:r w:rsidR="00F40FEC" w:rsidRPr="002C45E1">
        <w:t>-то число</w:t>
      </w:r>
      <w:r w:rsidRPr="002C45E1">
        <w:t xml:space="preserve"> </w:t>
      </w:r>
      <w:r w:rsidR="00F40FEC" w:rsidRPr="002C45E1">
        <w:t xml:space="preserve">на следващия месец и годишен отчет срок до 1/един/ месец след изтичане на съответната година/ технически </w:t>
      </w:r>
      <w:r w:rsidR="001F5338" w:rsidRPr="002C45E1">
        <w:t>Отчетите се разглеждат и одобряват от специалист от Отдел „ХП и ППСН” в 7 /седем / дневен срок от деня на представянето им.</w:t>
      </w:r>
    </w:p>
    <w:p w:rsidR="001F5338" w:rsidRPr="002C45E1" w:rsidRDefault="001F5338" w:rsidP="001F5338">
      <w:pPr>
        <w:numPr>
          <w:ilvl w:val="0"/>
          <w:numId w:val="23"/>
        </w:numPr>
        <w:tabs>
          <w:tab w:val="left" w:pos="851"/>
        </w:tabs>
        <w:ind w:left="0" w:firstLine="567"/>
        <w:jc w:val="both"/>
      </w:pPr>
      <w:r w:rsidRPr="002C45E1">
        <w:t>Годишния отчет се разг</w:t>
      </w:r>
      <w:r w:rsidR="002C45E1" w:rsidRPr="002C45E1">
        <w:t>лежда и одобрява от длъжностното лице</w:t>
      </w:r>
      <w:r w:rsidRPr="002C45E1">
        <w:t xml:space="preserve"> по ал. 4 в 14 /четиринадесет/ дневен срок от деня на представянето му.</w:t>
      </w:r>
    </w:p>
    <w:p w:rsidR="00463D75" w:rsidRDefault="00463D75" w:rsidP="00463D75">
      <w:pPr>
        <w:numPr>
          <w:ilvl w:val="0"/>
          <w:numId w:val="23"/>
        </w:numPr>
        <w:tabs>
          <w:tab w:val="left" w:pos="851"/>
        </w:tabs>
        <w:ind w:left="0" w:firstLine="567"/>
        <w:jc w:val="both"/>
      </w:pPr>
      <w:r>
        <w:t>П</w:t>
      </w:r>
      <w:r w:rsidRPr="003A2AB6">
        <w:t xml:space="preserve">ри всяка промяна в статута си на доставчик на социални услуги да уведомява     незабавно ВЪЗЛОЖИТЕЛЯ; </w:t>
      </w:r>
    </w:p>
    <w:p w:rsidR="00463D75" w:rsidRPr="003A2AB6" w:rsidRDefault="00463D75" w:rsidP="00463D75">
      <w:pPr>
        <w:numPr>
          <w:ilvl w:val="0"/>
          <w:numId w:val="23"/>
        </w:numPr>
        <w:tabs>
          <w:tab w:val="left" w:pos="851"/>
        </w:tabs>
        <w:ind w:left="0" w:firstLine="567"/>
        <w:jc w:val="both"/>
      </w:pPr>
      <w:r>
        <w:t xml:space="preserve">При доказана необходимост, </w:t>
      </w:r>
      <w:r w:rsidR="00892641">
        <w:t>след съгласуване с Община Нови пазар</w:t>
      </w:r>
      <w:r>
        <w:t xml:space="preserve"> и подписване на анекс по реда на чл.1, ал.5 да извършва промяна в щата и да предоставя нови социални услуги, съгласно ЗСП и ППЗСП, в рамките на утвърдения за съответната година бюджет </w:t>
      </w:r>
    </w:p>
    <w:p w:rsidR="00463D75" w:rsidRPr="003A2AB6" w:rsidRDefault="001F5338" w:rsidP="00463D75">
      <w:pPr>
        <w:tabs>
          <w:tab w:val="left" w:pos="851"/>
        </w:tabs>
        <w:ind w:firstLine="567"/>
        <w:jc w:val="both"/>
      </w:pPr>
      <w:r>
        <w:t>(9</w:t>
      </w:r>
      <w:r w:rsidR="00463D75">
        <w:t xml:space="preserve">) </w:t>
      </w:r>
      <w:r w:rsidR="00463D75" w:rsidRPr="003A2AB6">
        <w:t>да положи всички усилия за осигуряване на устойчивост на социалните услуги, развити в програмата за п</w:t>
      </w:r>
      <w:r w:rsidR="00892641">
        <w:t>редоставяне на социални услуги и да не ги променя.</w:t>
      </w:r>
    </w:p>
    <w:p w:rsidR="00463D75" w:rsidRPr="003A2AB6" w:rsidRDefault="001F5338" w:rsidP="00463D75">
      <w:pPr>
        <w:tabs>
          <w:tab w:val="left" w:pos="851"/>
        </w:tabs>
        <w:ind w:firstLine="567"/>
        <w:jc w:val="both"/>
      </w:pPr>
      <w:r>
        <w:t>(10</w:t>
      </w:r>
      <w:r w:rsidR="00463D75">
        <w:t xml:space="preserve">) </w:t>
      </w:r>
      <w:r w:rsidR="00463D75" w:rsidRPr="003A2AB6">
        <w:t>да уведомява ВЪЗЛОЖИТЕЛЯ за възникване на обстоятелства, препятстващи или отлагащи изпълнението на програмата за предоставяне на  социални услуги. При наличие на забавяне на дейностите, описани в програмата по вина на ИЗПЪЛНИТЕЛЯ за продължаване на изпълнението й е необходимо потвърждение от страна на ВЪЗЛОЖИТЕЛЯ;</w:t>
      </w:r>
    </w:p>
    <w:p w:rsidR="00463D75" w:rsidRPr="003A2AB6" w:rsidRDefault="001F5338" w:rsidP="00463D75">
      <w:pPr>
        <w:tabs>
          <w:tab w:val="left" w:pos="851"/>
        </w:tabs>
        <w:ind w:firstLine="567"/>
        <w:jc w:val="both"/>
      </w:pPr>
      <w:r>
        <w:lastRenderedPageBreak/>
        <w:t>(11</w:t>
      </w:r>
      <w:r w:rsidR="00463D75">
        <w:t xml:space="preserve">) </w:t>
      </w:r>
      <w:r w:rsidR="00463D75" w:rsidRPr="003A2AB6">
        <w:t>да използва отпуснатите от ВЪЗЛОЖИТЕЛЯ средства единствено за предоставяне на социални услуги, предмет на настоящия договор, съобразно бюджета, определен в програмата за развитие на социалните услуги;</w:t>
      </w:r>
    </w:p>
    <w:p w:rsidR="00463D75" w:rsidRPr="003A2AB6" w:rsidRDefault="00463D75" w:rsidP="00463D75">
      <w:pPr>
        <w:tabs>
          <w:tab w:val="left" w:pos="851"/>
        </w:tabs>
        <w:ind w:firstLine="567"/>
        <w:jc w:val="both"/>
      </w:pPr>
      <w:r>
        <w:t>(1</w:t>
      </w:r>
      <w:r w:rsidR="001F5338">
        <w:t>2</w:t>
      </w:r>
      <w:r>
        <w:t xml:space="preserve">) </w:t>
      </w:r>
      <w:r w:rsidRPr="003A2AB6">
        <w:t xml:space="preserve">да възстанови на ВЪЗЛОЖИТЕЛЯ средствата, разходвани за цели, извън    предмета на настоящия договор, заедно със съответните лихви, считано от деня на неправомерното разходване на средства; </w:t>
      </w:r>
    </w:p>
    <w:p w:rsidR="00463D75" w:rsidRPr="003A2AB6" w:rsidRDefault="001F5338" w:rsidP="00463D75">
      <w:pPr>
        <w:tabs>
          <w:tab w:val="left" w:pos="851"/>
        </w:tabs>
        <w:ind w:firstLine="567"/>
        <w:jc w:val="both"/>
      </w:pPr>
      <w:r>
        <w:t>(13</w:t>
      </w:r>
      <w:r w:rsidR="00463D75">
        <w:t xml:space="preserve">) </w:t>
      </w:r>
      <w:r w:rsidR="00463D75" w:rsidRPr="003A2AB6">
        <w:t>да възстанови на ВЪЗЛОЖИТЕЛЯ предоставените средства, в случай че изпълнението на програмата за предоставяне на социални услуги бъде преустановено по вина на ИЗПЪЛНИТЕЛЯ,</w:t>
      </w:r>
      <w:r w:rsidR="00463D75" w:rsidRPr="003A2AB6">
        <w:rPr>
          <w:b/>
        </w:rPr>
        <w:t xml:space="preserve"> </w:t>
      </w:r>
      <w:r w:rsidR="00463D75" w:rsidRPr="003A2AB6">
        <w:t>след заплащане на реално и разумно извършените разходи;</w:t>
      </w:r>
    </w:p>
    <w:p w:rsidR="00463D75" w:rsidRPr="003A2AB6" w:rsidRDefault="001F5338" w:rsidP="00463D75">
      <w:pPr>
        <w:tabs>
          <w:tab w:val="left" w:pos="851"/>
        </w:tabs>
        <w:ind w:firstLine="567"/>
        <w:jc w:val="both"/>
      </w:pPr>
      <w:r>
        <w:t>(14</w:t>
      </w:r>
      <w:r w:rsidR="00463D75">
        <w:t xml:space="preserve">) </w:t>
      </w:r>
      <w:r w:rsidR="00463D75" w:rsidRPr="003A2AB6">
        <w:t>в едномесечен срок от прекратяване на договора да възстанови на ВЪЗЛОЖИТЕЛЯ неизразходваните средства;</w:t>
      </w:r>
    </w:p>
    <w:p w:rsidR="00463D75" w:rsidRDefault="001F5338" w:rsidP="00463D75">
      <w:pPr>
        <w:tabs>
          <w:tab w:val="left" w:pos="851"/>
        </w:tabs>
        <w:ind w:firstLine="567"/>
        <w:jc w:val="both"/>
      </w:pPr>
      <w:r>
        <w:t>(15</w:t>
      </w:r>
      <w:r w:rsidR="00463D75">
        <w:t xml:space="preserve">) </w:t>
      </w:r>
      <w:r w:rsidR="00463D75" w:rsidRPr="003A2AB6">
        <w:t xml:space="preserve">да осигури достъп на упълномощени представители на ВЪЗЛОЖИТЕЛЯ до помещенията, документите и информацията за оценка на изпълнението на програмата за развитие на социалната услуга. </w:t>
      </w:r>
    </w:p>
    <w:p w:rsidR="00463D75" w:rsidRPr="003A2AB6" w:rsidRDefault="001F5338" w:rsidP="00463D75">
      <w:pPr>
        <w:tabs>
          <w:tab w:val="left" w:pos="851"/>
        </w:tabs>
        <w:ind w:firstLine="567"/>
        <w:jc w:val="both"/>
      </w:pPr>
      <w:r>
        <w:t xml:space="preserve"> (16</w:t>
      </w:r>
      <w:r w:rsidR="00463D75">
        <w:t>) В случай, че ИЗПЪЛНИТЕЛЯ осъществява дейности по изпълнение на Програмата в партньорство с други доставчици, които са посочени в програмата и бюджета, то ИЗПЪЛНИТЕЛЯТ се задължава да включи в договорите си с тях аналогични на включените в настоящия договор клаузи.</w:t>
      </w:r>
    </w:p>
    <w:p w:rsidR="00463D75" w:rsidRDefault="00463D75" w:rsidP="00463D75">
      <w:pPr>
        <w:ind w:firstLine="567"/>
        <w:jc w:val="both"/>
      </w:pPr>
      <w:r w:rsidRPr="003A2AB6">
        <w:rPr>
          <w:b/>
        </w:rPr>
        <w:t>Чл. 7</w:t>
      </w:r>
      <w:r>
        <w:rPr>
          <w:b/>
        </w:rPr>
        <w:t xml:space="preserve">. </w:t>
      </w:r>
      <w:r w:rsidRPr="003A2AB6">
        <w:t>(</w:t>
      </w:r>
      <w:r>
        <w:t>1</w:t>
      </w:r>
      <w:r w:rsidRPr="003A2AB6">
        <w:t xml:space="preserve">) Единствено ИЗПЪЛНИТЕЛЯТ носи отговорност спрямо трети лица, включително отговорност за вреди от какъвто и да е било вид, претърпени от тях през време на изпълнение на програмата. </w:t>
      </w:r>
    </w:p>
    <w:p w:rsidR="00463D75" w:rsidRDefault="00892641" w:rsidP="00463D75">
      <w:pPr>
        <w:ind w:firstLine="567"/>
        <w:jc w:val="both"/>
      </w:pPr>
      <w:r>
        <w:t xml:space="preserve">Чл. 8. </w:t>
      </w:r>
      <w:r w:rsidRPr="003A2AB6">
        <w:t xml:space="preserve">ИЗПЪЛНИТЕЛЯТ носи </w:t>
      </w:r>
      <w:r>
        <w:t xml:space="preserve">пълната </w:t>
      </w:r>
      <w:r w:rsidRPr="003A2AB6">
        <w:t>отговорност</w:t>
      </w:r>
      <w:r>
        <w:t xml:space="preserve"> </w:t>
      </w:r>
      <w:r w:rsidR="002B3634">
        <w:t xml:space="preserve">за съхраняване на имуществото. </w:t>
      </w:r>
      <w:r w:rsidR="00905962">
        <w:t>ИЗПЪЛНИТЕЛЯТ  да стопанисва сградния фонд, ка</w:t>
      </w:r>
      <w:r w:rsidR="001F5338">
        <w:t>то добър стопанин и извършените</w:t>
      </w:r>
      <w:r w:rsidR="00905962">
        <w:t xml:space="preserve"> ремонтни дейности да са в рамките на средствата от ЕРС</w:t>
      </w:r>
      <w:r w:rsidR="002C45E1">
        <w:t xml:space="preserve"> /единен разходен стандарт/</w:t>
      </w:r>
      <w:r w:rsidR="00905962">
        <w:t>.</w:t>
      </w:r>
    </w:p>
    <w:p w:rsidR="00892641" w:rsidRPr="003A2AB6" w:rsidRDefault="00892641" w:rsidP="00463D75">
      <w:pPr>
        <w:ind w:firstLine="567"/>
        <w:jc w:val="both"/>
      </w:pPr>
    </w:p>
    <w:p w:rsidR="00463D75" w:rsidRPr="003A2AB6" w:rsidRDefault="00463D75" w:rsidP="00463D75">
      <w:pPr>
        <w:ind w:firstLine="567"/>
        <w:jc w:val="both"/>
        <w:rPr>
          <w:b/>
        </w:rPr>
      </w:pPr>
      <w:r w:rsidRPr="003A2AB6">
        <w:rPr>
          <w:b/>
        </w:rPr>
        <w:t>V.ПРЕКРАТЯВАНЕ НА ДОГОВОРА</w:t>
      </w:r>
    </w:p>
    <w:p w:rsidR="00463D75" w:rsidRPr="003A2AB6" w:rsidRDefault="00463D75" w:rsidP="00463D75">
      <w:pPr>
        <w:ind w:firstLine="567"/>
        <w:jc w:val="both"/>
        <w:rPr>
          <w:b/>
        </w:rPr>
      </w:pPr>
    </w:p>
    <w:p w:rsidR="00463D75" w:rsidRDefault="00463D75" w:rsidP="00463D75">
      <w:pPr>
        <w:ind w:firstLine="567"/>
        <w:jc w:val="both"/>
      </w:pPr>
      <w:r w:rsidRPr="003A2AB6">
        <w:rPr>
          <w:b/>
        </w:rPr>
        <w:t>Чл. 8</w:t>
      </w:r>
      <w:r w:rsidRPr="003A2AB6">
        <w:t xml:space="preserve"> (1) </w:t>
      </w:r>
      <w:r>
        <w:t>Настоящият договор се прекратява по взаимно съгласие;</w:t>
      </w:r>
    </w:p>
    <w:p w:rsidR="00463D75" w:rsidRPr="003A2AB6" w:rsidRDefault="00463D75" w:rsidP="00463D75">
      <w:pPr>
        <w:ind w:firstLine="567"/>
        <w:jc w:val="both"/>
      </w:pPr>
      <w:r w:rsidRPr="003A2AB6">
        <w:t>(2) Настоящият договор се прекратява с изтичане на срока, за който е сключен.</w:t>
      </w:r>
    </w:p>
    <w:p w:rsidR="00463D75" w:rsidRPr="003A2AB6" w:rsidRDefault="00463D75" w:rsidP="00463D75">
      <w:pPr>
        <w:ind w:firstLine="567"/>
        <w:jc w:val="both"/>
      </w:pPr>
      <w:r w:rsidRPr="003A2AB6">
        <w:t xml:space="preserve">(3) ВЪЗЛОЖИТЕЛЯТ може да прекрати едностранно договора след </w:t>
      </w:r>
      <w:r w:rsidRPr="003A2AB6">
        <w:rPr>
          <w:i/>
        </w:rPr>
        <w:t xml:space="preserve"> едномесечно предизвестие</w:t>
      </w:r>
      <w:r w:rsidRPr="003A2AB6">
        <w:t xml:space="preserve"> в случаи, че:</w:t>
      </w:r>
    </w:p>
    <w:p w:rsidR="00463D75" w:rsidRDefault="00463D75" w:rsidP="00463D75">
      <w:pPr>
        <w:ind w:firstLine="1276"/>
        <w:jc w:val="both"/>
      </w:pPr>
      <w:r>
        <w:t xml:space="preserve">1. </w:t>
      </w:r>
      <w:r w:rsidRPr="003A2AB6">
        <w:t>ИЗПЪЛНИТЕЛЯТ загуби качеството си на доставчик на социална услуга, която</w:t>
      </w:r>
      <w:r>
        <w:t xml:space="preserve"> е предмет на настоящия договор, при отнемане на лицензи по ЗСП и ППЗСП;  </w:t>
      </w:r>
    </w:p>
    <w:p w:rsidR="00463D75" w:rsidRPr="003A2AB6" w:rsidRDefault="00463D75" w:rsidP="00463D75">
      <w:pPr>
        <w:ind w:firstLine="1276"/>
        <w:jc w:val="both"/>
      </w:pPr>
      <w:r>
        <w:t xml:space="preserve">2. </w:t>
      </w:r>
      <w:r w:rsidRPr="003A2AB6">
        <w:t>ако ИЗПЪЛНИТЕЛЯТ не спази задълженията си във връзка с представяне на финансовите отчети в предвидените срокове и формати, и не даде основателни обяснения за това;</w:t>
      </w:r>
    </w:p>
    <w:p w:rsidR="00463D75" w:rsidRPr="003A2AB6" w:rsidRDefault="00463D75" w:rsidP="00463D75">
      <w:pPr>
        <w:ind w:firstLine="1276"/>
        <w:jc w:val="both"/>
      </w:pPr>
      <w:r>
        <w:t xml:space="preserve">3. </w:t>
      </w:r>
      <w:r w:rsidRPr="003A2AB6">
        <w:t>не</w:t>
      </w:r>
      <w:r w:rsidR="00892641">
        <w:t xml:space="preserve"> </w:t>
      </w:r>
      <w:r w:rsidRPr="003A2AB6">
        <w:t xml:space="preserve">изпълни, без основания, някои от задълженията си по договора, и след като бъде писмено предупреден да ги изпълни, продължи да не ги изпълнява или не даде основателни причини за неизпълнението; </w:t>
      </w:r>
    </w:p>
    <w:p w:rsidR="00463D75" w:rsidRDefault="00463D75" w:rsidP="00463D75">
      <w:pPr>
        <w:ind w:firstLine="567"/>
        <w:jc w:val="both"/>
      </w:pPr>
      <w:r w:rsidRPr="003A2AB6">
        <w:t>(4</w:t>
      </w:r>
      <w:r w:rsidRPr="003A2AB6">
        <w:rPr>
          <w:b/>
        </w:rPr>
        <w:t xml:space="preserve">) </w:t>
      </w:r>
      <w:r w:rsidRPr="003A2AB6">
        <w:t xml:space="preserve">ИЗПЪЛНИТЕЛЯТ може да прекрати едностранно договора с едномесечно </w:t>
      </w:r>
      <w:r>
        <w:t xml:space="preserve">писмено </w:t>
      </w:r>
      <w:r w:rsidRPr="003A2AB6">
        <w:t xml:space="preserve">предизвестие в случай, че ВЪЗЛОЖИТЕЛЯТ виновно не изпълнява задълженията си по този договор за предоставяне на необходимото финансиране и оказване на съдействие при предоставяне на социалните услуги. </w:t>
      </w:r>
    </w:p>
    <w:p w:rsidR="00463D75" w:rsidRPr="009C5085" w:rsidRDefault="00463D75" w:rsidP="00463D75">
      <w:pPr>
        <w:ind w:firstLine="567"/>
        <w:jc w:val="both"/>
      </w:pPr>
      <w:r>
        <w:t>(5) При непредвиждане</w:t>
      </w:r>
      <w:r w:rsidRPr="009C5085">
        <w:t xml:space="preserve"> на средствата в държавния бюджет за</w:t>
      </w:r>
      <w:r>
        <w:t xml:space="preserve"> издръжка на социалната услуга</w:t>
      </w:r>
      <w:r w:rsidR="00892641" w:rsidRPr="003A2AB6">
        <w:t xml:space="preserve"> „</w:t>
      </w:r>
      <w:r w:rsidR="00892641">
        <w:t xml:space="preserve">Център за </w:t>
      </w:r>
      <w:r w:rsidR="002B3634">
        <w:t xml:space="preserve">обществена подкрепа” </w:t>
      </w:r>
      <w:r w:rsidRPr="009C5085">
        <w:t>предоставяна в общността</w:t>
      </w:r>
      <w:r w:rsidR="002B3634">
        <w:t>,</w:t>
      </w:r>
      <w:r w:rsidRPr="009C5085">
        <w:t xml:space="preserve"> като делегирана държавна дейност</w:t>
      </w:r>
      <w:r>
        <w:t>,</w:t>
      </w:r>
      <w:r w:rsidRPr="009C5085">
        <w:t xml:space="preserve"> </w:t>
      </w:r>
      <w:r>
        <w:t>с писмено предизвестие от страна на ВЪЗЛОЖИТЕЛЯ до ИЗПЪЛНИТЕЛЯ.</w:t>
      </w:r>
    </w:p>
    <w:p w:rsidR="00463D75" w:rsidRDefault="00463D75" w:rsidP="00463D75">
      <w:pPr>
        <w:ind w:firstLine="567"/>
        <w:jc w:val="both"/>
      </w:pPr>
    </w:p>
    <w:p w:rsidR="00463D75" w:rsidRPr="003A2AB6" w:rsidRDefault="00463D75" w:rsidP="00463D75">
      <w:pPr>
        <w:ind w:firstLine="567"/>
        <w:jc w:val="both"/>
        <w:rPr>
          <w:b/>
        </w:rPr>
      </w:pPr>
      <w:r w:rsidRPr="003A2AB6">
        <w:rPr>
          <w:b/>
        </w:rPr>
        <w:t>VІ. НЕИЗПЪЛНЕНИЕ НА ДОГОВОРА И НЕУСТОЙКИ</w:t>
      </w:r>
    </w:p>
    <w:p w:rsidR="00463D75" w:rsidRPr="003A2AB6" w:rsidRDefault="00463D75" w:rsidP="00463D75">
      <w:pPr>
        <w:ind w:firstLine="567"/>
        <w:jc w:val="both"/>
        <w:rPr>
          <w:b/>
        </w:rPr>
      </w:pPr>
    </w:p>
    <w:p w:rsidR="00463D75" w:rsidRPr="003A2AB6" w:rsidRDefault="00463D75" w:rsidP="00463D75">
      <w:pPr>
        <w:ind w:firstLine="567"/>
        <w:jc w:val="both"/>
      </w:pPr>
      <w:r w:rsidRPr="003A2AB6">
        <w:rPr>
          <w:b/>
        </w:rPr>
        <w:t>Чл.9</w:t>
      </w:r>
      <w:r>
        <w:t xml:space="preserve"> </w:t>
      </w:r>
      <w:r w:rsidRPr="003A2AB6">
        <w:t>(1) В случай, че дейностите по предоставяне на социални услуги, предмет на настоящия договор, бъдат преустановени по вина на ИЗПЪЛНИТЕЛЯ, то той дължи на ВЪЗЛОЖИТЕЛЯ</w:t>
      </w:r>
      <w:r w:rsidRPr="003A2AB6">
        <w:rPr>
          <w:b/>
        </w:rPr>
        <w:t xml:space="preserve"> </w:t>
      </w:r>
      <w:r w:rsidRPr="003A2AB6">
        <w:t xml:space="preserve">неустойка в размер на </w:t>
      </w:r>
      <w:r w:rsidRPr="003A2AB6">
        <w:rPr>
          <w:i/>
          <w:iCs/>
        </w:rPr>
        <w:t>0,5</w:t>
      </w:r>
      <w:r w:rsidRPr="003A2AB6">
        <w:t xml:space="preserve"> % върху размера на предоставените до момента средства. Неустойката не изключва правото на ВЪЗЛОЖИТЕЛЯ да претендира обезщетение за вреди по общия ред. </w:t>
      </w:r>
    </w:p>
    <w:p w:rsidR="00463D75" w:rsidRDefault="00463D75" w:rsidP="00463D75">
      <w:pPr>
        <w:ind w:firstLine="567"/>
        <w:jc w:val="both"/>
      </w:pPr>
      <w:r w:rsidRPr="00445710">
        <w:rPr>
          <w:lang w:val="ru-RU"/>
        </w:rPr>
        <w:t xml:space="preserve"> </w:t>
      </w:r>
      <w:r w:rsidRPr="003A2AB6">
        <w:t>(2) В случай на забава на превеждане на средства по вина на ВЪЗЛОЖИТЕЛЯ съобразно уговореното в раздел ІV от настоящия договор, при положение, че ИЗПЪЛНИТЕЛЯТ е изправна страна, ВЪЗЛОЖИТЕЛЯТ</w:t>
      </w:r>
      <w:r w:rsidRPr="003A2AB6">
        <w:rPr>
          <w:b/>
        </w:rPr>
        <w:t xml:space="preserve"> </w:t>
      </w:r>
      <w:r w:rsidRPr="003A2AB6">
        <w:t xml:space="preserve">дължи неустойка за забава в размер на </w:t>
      </w:r>
      <w:r w:rsidRPr="003A2AB6">
        <w:rPr>
          <w:i/>
          <w:iCs/>
        </w:rPr>
        <w:t>0.5</w:t>
      </w:r>
      <w:r w:rsidRPr="003A2AB6">
        <w:t xml:space="preserve"> % от стойността на непреведената сума за всеки просрочен ден.</w:t>
      </w:r>
    </w:p>
    <w:p w:rsidR="00463D75" w:rsidRPr="003A2AB6" w:rsidRDefault="00463D75" w:rsidP="00463D75">
      <w:pPr>
        <w:pStyle w:val="ab"/>
        <w:spacing w:after="0"/>
        <w:ind w:left="0" w:firstLine="284"/>
        <w:jc w:val="both"/>
        <w:rPr>
          <w:szCs w:val="24"/>
        </w:rPr>
      </w:pPr>
      <w:r w:rsidRPr="00445710">
        <w:rPr>
          <w:szCs w:val="24"/>
          <w:lang w:val="ru-RU"/>
        </w:rPr>
        <w:t xml:space="preserve">     </w:t>
      </w:r>
      <w:r w:rsidRPr="003A2AB6">
        <w:rPr>
          <w:szCs w:val="24"/>
        </w:rPr>
        <w:t>(</w:t>
      </w:r>
      <w:r>
        <w:rPr>
          <w:szCs w:val="24"/>
        </w:rPr>
        <w:t>3</w:t>
      </w:r>
      <w:r w:rsidRPr="003A2AB6">
        <w:rPr>
          <w:szCs w:val="24"/>
        </w:rPr>
        <w:t xml:space="preserve">) ИЗПЪЛНИТЕЛЯТ трябва да възстанови на ВЪЗЛОЖИТЕЛЯ средствата, разходвани за цели, извън предмета на настоящия договор, заедно със съответните лихви, считано от деня на неправомерното разходване на средства. </w:t>
      </w:r>
    </w:p>
    <w:p w:rsidR="00463D75" w:rsidRPr="003A2AB6" w:rsidRDefault="00463D75" w:rsidP="00463D75">
      <w:pPr>
        <w:ind w:firstLine="567"/>
        <w:jc w:val="both"/>
      </w:pPr>
      <w:r w:rsidRPr="003A2AB6">
        <w:t>(</w:t>
      </w:r>
      <w:r>
        <w:t>4</w:t>
      </w:r>
      <w:r w:rsidRPr="003A2AB6">
        <w:t>) ИЗПЪЛНИТЕЛЯТ трябва да възстанови на ВЪЗЛОЖИТЕЛЯ предоставените средства, в случай че изпълнението на програмата за развитие на социалната услуга бъде преустановено, след заплащане на реално и разумно извършените разходи.</w:t>
      </w:r>
    </w:p>
    <w:p w:rsidR="00463D75" w:rsidRDefault="00463D75" w:rsidP="00463D75">
      <w:pPr>
        <w:ind w:firstLine="567"/>
        <w:jc w:val="both"/>
      </w:pPr>
      <w:r w:rsidRPr="003A2AB6">
        <w:t>(</w:t>
      </w:r>
      <w:r>
        <w:t>5</w:t>
      </w:r>
      <w:r w:rsidRPr="003A2AB6">
        <w:t>) ИЗПЪЛНИТЕЛЯТ трябва да възстанови на ВЪЗЛОЖИТЕЛЯ неизразходваните средства в едномесечен срок от прекратяване на договора.</w:t>
      </w:r>
    </w:p>
    <w:p w:rsidR="00463D75" w:rsidRPr="009C5085" w:rsidRDefault="00463D75" w:rsidP="00463D75">
      <w:pPr>
        <w:ind w:firstLine="567"/>
        <w:jc w:val="both"/>
      </w:pPr>
      <w:r>
        <w:t xml:space="preserve">(6) </w:t>
      </w:r>
      <w:r w:rsidRPr="009C5085">
        <w:t>Непредвиждането на средствата в държавния бюджет за издръжка на социалната услуга</w:t>
      </w:r>
      <w:r w:rsidR="00892641" w:rsidRPr="003A2AB6">
        <w:t xml:space="preserve"> „</w:t>
      </w:r>
      <w:r w:rsidR="00892641">
        <w:t xml:space="preserve">Център за </w:t>
      </w:r>
      <w:r w:rsidR="002B3634">
        <w:t xml:space="preserve">обществена подкрепа” </w:t>
      </w:r>
      <w:r w:rsidRPr="009C5085">
        <w:t>предоставяна в общността</w:t>
      </w:r>
      <w:r>
        <w:t>,</w:t>
      </w:r>
      <w:r w:rsidRPr="009C5085">
        <w:t xml:space="preserve"> като делегирана държавна дейност</w:t>
      </w:r>
      <w:r>
        <w:t>,</w:t>
      </w:r>
      <w:r w:rsidRPr="009C5085">
        <w:t xml:space="preserve"> освобождава Община </w:t>
      </w:r>
      <w:r w:rsidR="00892641">
        <w:t>Нови пазар</w:t>
      </w:r>
      <w:r w:rsidRPr="009C5085">
        <w:t xml:space="preserve"> от отговорност.</w:t>
      </w:r>
    </w:p>
    <w:p w:rsidR="00463D75" w:rsidRPr="003A2AB6" w:rsidRDefault="00463D75" w:rsidP="00463D75">
      <w:pPr>
        <w:ind w:firstLine="567"/>
        <w:jc w:val="both"/>
      </w:pPr>
    </w:p>
    <w:p w:rsidR="00463D75" w:rsidRPr="003A2AB6" w:rsidRDefault="00463D75" w:rsidP="00463D75">
      <w:pPr>
        <w:ind w:firstLine="567"/>
        <w:jc w:val="both"/>
        <w:rPr>
          <w:b/>
        </w:rPr>
      </w:pPr>
      <w:r w:rsidRPr="003A2AB6">
        <w:rPr>
          <w:b/>
        </w:rPr>
        <w:t>VІІ. ПРЕХОДНИ И ЗАКЛЮЧИТЕЛНИ РАЗПОРЕДБИ</w:t>
      </w:r>
    </w:p>
    <w:p w:rsidR="00463D75" w:rsidRPr="003A2AB6" w:rsidRDefault="00463D75" w:rsidP="00463D75">
      <w:pPr>
        <w:ind w:firstLine="567"/>
        <w:jc w:val="both"/>
        <w:rPr>
          <w:b/>
        </w:rPr>
      </w:pPr>
    </w:p>
    <w:p w:rsidR="00463D75" w:rsidRDefault="00463D75" w:rsidP="00463D75">
      <w:pPr>
        <w:ind w:firstLine="567"/>
        <w:jc w:val="both"/>
      </w:pPr>
      <w:r w:rsidRPr="003A2AB6">
        <w:rPr>
          <w:b/>
          <w:bCs/>
        </w:rPr>
        <w:t>Чл. 10.</w:t>
      </w:r>
      <w:r w:rsidRPr="003A2AB6">
        <w:t xml:space="preserve"> </w:t>
      </w:r>
      <w:r>
        <w:t>В случай, че ИЗПЪЛНИТЕЛЯТ осъществява дейностите по изпълнение на Програмата за предоставяне на социални услуги с партньори и/или подизпълнители, то ИЗПЪЛНИТЕЛЯ носи пълна отговорност за дейностите, възложени на партньори/ подизпълнители.</w:t>
      </w:r>
    </w:p>
    <w:p w:rsidR="00463D75" w:rsidRDefault="00463D75" w:rsidP="00463D75">
      <w:pPr>
        <w:ind w:firstLine="567"/>
        <w:jc w:val="both"/>
      </w:pPr>
      <w:r w:rsidRPr="003A0D78">
        <w:rPr>
          <w:b/>
        </w:rPr>
        <w:t>Чл. 11</w:t>
      </w:r>
      <w:r>
        <w:t xml:space="preserve"> Предоставянето и ползването на социалната услуга </w:t>
      </w:r>
      <w:r w:rsidR="00892641" w:rsidRPr="003A2AB6">
        <w:t>„</w:t>
      </w:r>
      <w:r w:rsidR="00892641">
        <w:t>Център за</w:t>
      </w:r>
      <w:r w:rsidR="002B3634">
        <w:t>обществена подкрепа”</w:t>
      </w:r>
      <w:r w:rsidR="00892641" w:rsidRPr="003A2AB6">
        <w:t>,</w:t>
      </w:r>
      <w:r w:rsidR="00892641">
        <w:t xml:space="preserve"> </w:t>
      </w:r>
      <w:r>
        <w:t xml:space="preserve"> се извършва по реда на ЗСП, ППЗСП, ЗЗД, НКССУД, ЗЗДН, ППЗЗДН и други подзаконови нормативни актове.</w:t>
      </w:r>
    </w:p>
    <w:p w:rsidR="00463D75" w:rsidRPr="003A2AB6" w:rsidRDefault="00463D75" w:rsidP="00463D75">
      <w:pPr>
        <w:ind w:firstLine="567"/>
        <w:jc w:val="both"/>
        <w:rPr>
          <w:b/>
        </w:rPr>
      </w:pPr>
      <w:r w:rsidRPr="003A0D78">
        <w:rPr>
          <w:b/>
        </w:rPr>
        <w:t>Чл. 12</w:t>
      </w:r>
      <w:r>
        <w:t xml:space="preserve"> </w:t>
      </w:r>
      <w:r w:rsidRPr="003A2AB6">
        <w:t>За неуредени въпроси в настоящия договор се прилагат разпоредбите на действащото българско законодателство.</w:t>
      </w:r>
    </w:p>
    <w:p w:rsidR="00463D75" w:rsidRPr="003A2AB6" w:rsidRDefault="00463D75" w:rsidP="00463D75">
      <w:pPr>
        <w:tabs>
          <w:tab w:val="left" w:pos="-360"/>
        </w:tabs>
        <w:ind w:firstLine="567"/>
        <w:jc w:val="both"/>
      </w:pPr>
      <w:r w:rsidRPr="003A2AB6">
        <w:rPr>
          <w:b/>
        </w:rPr>
        <w:t>Чл.1</w:t>
      </w:r>
      <w:r>
        <w:rPr>
          <w:b/>
        </w:rPr>
        <w:t>3</w:t>
      </w:r>
      <w:r w:rsidRPr="003A2AB6">
        <w:rPr>
          <w:b/>
        </w:rPr>
        <w:t>.</w:t>
      </w:r>
      <w:r w:rsidRPr="003A2AB6">
        <w:t xml:space="preserve"> Договорът може да бъде актуализиран чрез анекс по взаимно</w:t>
      </w:r>
      <w:r>
        <w:t xml:space="preserve"> писмено</w:t>
      </w:r>
      <w:r w:rsidRPr="003A2AB6">
        <w:t xml:space="preserve"> съгласие на страните. </w:t>
      </w:r>
    </w:p>
    <w:p w:rsidR="00463D75" w:rsidRPr="003A2AB6" w:rsidRDefault="00463D75" w:rsidP="00463D75">
      <w:pPr>
        <w:tabs>
          <w:tab w:val="left" w:pos="-360"/>
        </w:tabs>
        <w:ind w:firstLine="567"/>
        <w:jc w:val="both"/>
      </w:pPr>
      <w:r w:rsidRPr="003A2AB6">
        <w:rPr>
          <w:b/>
          <w:bCs/>
        </w:rPr>
        <w:t>Чл.1</w:t>
      </w:r>
      <w:r>
        <w:rPr>
          <w:b/>
          <w:bCs/>
        </w:rPr>
        <w:t>4</w:t>
      </w:r>
      <w:r w:rsidRPr="003A2AB6">
        <w:rPr>
          <w:b/>
          <w:bCs/>
        </w:rPr>
        <w:t>.</w:t>
      </w:r>
      <w:r w:rsidRPr="003A2AB6">
        <w:t xml:space="preserve"> Страните  разрешават споровете, възникнали по повод изпълнението на настоящия договор, по взаимно съгласие, а при невъзможност – по съдебен ред. </w:t>
      </w:r>
    </w:p>
    <w:p w:rsidR="00463D75" w:rsidRPr="003A2AB6" w:rsidRDefault="00463D75" w:rsidP="00463D75">
      <w:pPr>
        <w:ind w:firstLine="567"/>
        <w:jc w:val="both"/>
      </w:pPr>
      <w:r w:rsidRPr="003A2AB6">
        <w:rPr>
          <w:b/>
          <w:bCs/>
        </w:rPr>
        <w:t>Чл.1</w:t>
      </w:r>
      <w:r>
        <w:rPr>
          <w:b/>
          <w:bCs/>
        </w:rPr>
        <w:t>5</w:t>
      </w:r>
      <w:r w:rsidRPr="003A2AB6">
        <w:rPr>
          <w:b/>
          <w:bCs/>
        </w:rPr>
        <w:t>.</w:t>
      </w:r>
      <w:r w:rsidRPr="003A2AB6">
        <w:rPr>
          <w:bCs/>
        </w:rPr>
        <w:t xml:space="preserve"> </w:t>
      </w:r>
      <w:r w:rsidRPr="003A2AB6">
        <w:t>Настоящият договор се изготви и подписа от страните в два еднообразни екземпляра.</w:t>
      </w:r>
    </w:p>
    <w:p w:rsidR="00463D75" w:rsidRDefault="00463D75" w:rsidP="00463D75">
      <w:pPr>
        <w:ind w:firstLine="567"/>
        <w:jc w:val="both"/>
        <w:rPr>
          <w:b/>
        </w:rPr>
      </w:pPr>
    </w:p>
    <w:p w:rsidR="00463D75" w:rsidRDefault="00463D75" w:rsidP="00463D75">
      <w:pPr>
        <w:ind w:firstLine="567"/>
        <w:jc w:val="both"/>
        <w:rPr>
          <w:b/>
        </w:rPr>
      </w:pPr>
    </w:p>
    <w:p w:rsidR="00463D75" w:rsidRDefault="00463D75" w:rsidP="00463D75">
      <w:pPr>
        <w:ind w:firstLine="567"/>
        <w:jc w:val="both"/>
        <w:rPr>
          <w:b/>
        </w:rPr>
      </w:pPr>
    </w:p>
    <w:p w:rsidR="00463D75" w:rsidRDefault="00463D75" w:rsidP="00E61E65">
      <w:pPr>
        <w:jc w:val="both"/>
        <w:rPr>
          <w:b/>
        </w:rPr>
      </w:pPr>
      <w:r>
        <w:rPr>
          <w:b/>
        </w:rPr>
        <w:t>ВЪЗЛОЖИТЕЛ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ИЗПЪЛНИТЕЛ</w:t>
      </w:r>
    </w:p>
    <w:sectPr w:rsidR="00463D75" w:rsidSect="008D4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73F8" w:rsidRDefault="003373F8" w:rsidP="00AC0457">
      <w:r>
        <w:separator/>
      </w:r>
    </w:p>
  </w:endnote>
  <w:endnote w:type="continuationSeparator" w:id="1">
    <w:p w:rsidR="003373F8" w:rsidRDefault="003373F8" w:rsidP="00AC04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ok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73F8" w:rsidRDefault="003373F8" w:rsidP="00AC0457">
      <w:r>
        <w:separator/>
      </w:r>
    </w:p>
  </w:footnote>
  <w:footnote w:type="continuationSeparator" w:id="1">
    <w:p w:rsidR="003373F8" w:rsidRDefault="003373F8" w:rsidP="00AC04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47601"/>
    <w:multiLevelType w:val="hybridMultilevel"/>
    <w:tmpl w:val="8FFAFA42"/>
    <w:lvl w:ilvl="0" w:tplc="62D28C1C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72300BA"/>
    <w:multiLevelType w:val="hybridMultilevel"/>
    <w:tmpl w:val="D99CF138"/>
    <w:lvl w:ilvl="0" w:tplc="9490BC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50260C">
      <w:numFmt w:val="none"/>
      <w:lvlText w:val=""/>
      <w:lvlJc w:val="left"/>
      <w:pPr>
        <w:tabs>
          <w:tab w:val="num" w:pos="360"/>
        </w:tabs>
      </w:pPr>
    </w:lvl>
    <w:lvl w:ilvl="2" w:tplc="FB582204">
      <w:numFmt w:val="none"/>
      <w:lvlText w:val=""/>
      <w:lvlJc w:val="left"/>
      <w:pPr>
        <w:tabs>
          <w:tab w:val="num" w:pos="360"/>
        </w:tabs>
      </w:pPr>
    </w:lvl>
    <w:lvl w:ilvl="3" w:tplc="42CA9166">
      <w:numFmt w:val="none"/>
      <w:lvlText w:val=""/>
      <w:lvlJc w:val="left"/>
      <w:pPr>
        <w:tabs>
          <w:tab w:val="num" w:pos="360"/>
        </w:tabs>
      </w:pPr>
    </w:lvl>
    <w:lvl w:ilvl="4" w:tplc="A0C2BF88">
      <w:numFmt w:val="none"/>
      <w:lvlText w:val=""/>
      <w:lvlJc w:val="left"/>
      <w:pPr>
        <w:tabs>
          <w:tab w:val="num" w:pos="360"/>
        </w:tabs>
      </w:pPr>
    </w:lvl>
    <w:lvl w:ilvl="5" w:tplc="67F46748">
      <w:numFmt w:val="none"/>
      <w:lvlText w:val=""/>
      <w:lvlJc w:val="left"/>
      <w:pPr>
        <w:tabs>
          <w:tab w:val="num" w:pos="360"/>
        </w:tabs>
      </w:pPr>
    </w:lvl>
    <w:lvl w:ilvl="6" w:tplc="B35EBC54">
      <w:numFmt w:val="none"/>
      <w:lvlText w:val=""/>
      <w:lvlJc w:val="left"/>
      <w:pPr>
        <w:tabs>
          <w:tab w:val="num" w:pos="360"/>
        </w:tabs>
      </w:pPr>
    </w:lvl>
    <w:lvl w:ilvl="7" w:tplc="6A1C11FC">
      <w:numFmt w:val="none"/>
      <w:lvlText w:val=""/>
      <w:lvlJc w:val="left"/>
      <w:pPr>
        <w:tabs>
          <w:tab w:val="num" w:pos="360"/>
        </w:tabs>
      </w:pPr>
    </w:lvl>
    <w:lvl w:ilvl="8" w:tplc="427288E4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9BD4EDE"/>
    <w:multiLevelType w:val="hybridMultilevel"/>
    <w:tmpl w:val="E9B2DA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B84C46">
      <w:start w:val="4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sz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5641B4"/>
    <w:multiLevelType w:val="hybridMultilevel"/>
    <w:tmpl w:val="4EBCFF7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3009B4"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eastAsia="Times New Roman" w:hAnsi="Symbol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D032F9"/>
    <w:multiLevelType w:val="hybridMultilevel"/>
    <w:tmpl w:val="FCF60E50"/>
    <w:lvl w:ilvl="0" w:tplc="FFFFFFFF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upperRoman"/>
      <w:lvlText w:val="%2."/>
      <w:lvlJc w:val="left"/>
      <w:pPr>
        <w:tabs>
          <w:tab w:val="num" w:pos="2160"/>
        </w:tabs>
        <w:ind w:left="2160" w:hanging="72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0E6DFF"/>
    <w:multiLevelType w:val="multilevel"/>
    <w:tmpl w:val="3E1AEF6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6">
    <w:nsid w:val="193666B2"/>
    <w:multiLevelType w:val="hybridMultilevel"/>
    <w:tmpl w:val="2946B260"/>
    <w:lvl w:ilvl="0" w:tplc="9414385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DBE441EA">
      <w:numFmt w:val="none"/>
      <w:lvlText w:val=""/>
      <w:lvlJc w:val="left"/>
      <w:pPr>
        <w:tabs>
          <w:tab w:val="num" w:pos="360"/>
        </w:tabs>
      </w:pPr>
    </w:lvl>
    <w:lvl w:ilvl="2" w:tplc="3BE67650">
      <w:numFmt w:val="none"/>
      <w:lvlText w:val=""/>
      <w:lvlJc w:val="left"/>
      <w:pPr>
        <w:tabs>
          <w:tab w:val="num" w:pos="360"/>
        </w:tabs>
      </w:pPr>
    </w:lvl>
    <w:lvl w:ilvl="3" w:tplc="3E2A3D50">
      <w:numFmt w:val="none"/>
      <w:lvlText w:val=""/>
      <w:lvlJc w:val="left"/>
      <w:pPr>
        <w:tabs>
          <w:tab w:val="num" w:pos="360"/>
        </w:tabs>
      </w:pPr>
    </w:lvl>
    <w:lvl w:ilvl="4" w:tplc="7C16B7FC">
      <w:numFmt w:val="none"/>
      <w:lvlText w:val=""/>
      <w:lvlJc w:val="left"/>
      <w:pPr>
        <w:tabs>
          <w:tab w:val="num" w:pos="360"/>
        </w:tabs>
      </w:pPr>
    </w:lvl>
    <w:lvl w:ilvl="5" w:tplc="AE744CDE">
      <w:numFmt w:val="none"/>
      <w:lvlText w:val=""/>
      <w:lvlJc w:val="left"/>
      <w:pPr>
        <w:tabs>
          <w:tab w:val="num" w:pos="360"/>
        </w:tabs>
      </w:pPr>
    </w:lvl>
    <w:lvl w:ilvl="6" w:tplc="3384CAC2">
      <w:numFmt w:val="none"/>
      <w:lvlText w:val=""/>
      <w:lvlJc w:val="left"/>
      <w:pPr>
        <w:tabs>
          <w:tab w:val="num" w:pos="360"/>
        </w:tabs>
      </w:pPr>
    </w:lvl>
    <w:lvl w:ilvl="7" w:tplc="F1EC84C4">
      <w:numFmt w:val="none"/>
      <w:lvlText w:val=""/>
      <w:lvlJc w:val="left"/>
      <w:pPr>
        <w:tabs>
          <w:tab w:val="num" w:pos="360"/>
        </w:tabs>
      </w:pPr>
    </w:lvl>
    <w:lvl w:ilvl="8" w:tplc="EEFE2F00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A6C4932"/>
    <w:multiLevelType w:val="multilevel"/>
    <w:tmpl w:val="8884C4E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8">
    <w:nsid w:val="21F55E9C"/>
    <w:multiLevelType w:val="hybridMultilevel"/>
    <w:tmpl w:val="B77453AA"/>
    <w:lvl w:ilvl="0" w:tplc="0402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70B19A3"/>
    <w:multiLevelType w:val="multilevel"/>
    <w:tmpl w:val="6A9077D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DF48F9"/>
    <w:multiLevelType w:val="multilevel"/>
    <w:tmpl w:val="7CC27B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36FB019B"/>
    <w:multiLevelType w:val="hybridMultilevel"/>
    <w:tmpl w:val="718EC47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C076FB"/>
    <w:multiLevelType w:val="hybridMultilevel"/>
    <w:tmpl w:val="2DC66450"/>
    <w:lvl w:ilvl="0" w:tplc="B90EFFCE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3C925AD5"/>
    <w:multiLevelType w:val="hybridMultilevel"/>
    <w:tmpl w:val="EE72418A"/>
    <w:lvl w:ilvl="0" w:tplc="49720D26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41EC4CF0"/>
    <w:multiLevelType w:val="multilevel"/>
    <w:tmpl w:val="D24EA43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488479D"/>
    <w:multiLevelType w:val="hybridMultilevel"/>
    <w:tmpl w:val="552CF2CC"/>
    <w:lvl w:ilvl="0" w:tplc="366C2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BE04A7C">
      <w:numFmt w:val="none"/>
      <w:lvlText w:val=""/>
      <w:lvlJc w:val="left"/>
      <w:pPr>
        <w:tabs>
          <w:tab w:val="num" w:pos="360"/>
        </w:tabs>
      </w:pPr>
    </w:lvl>
    <w:lvl w:ilvl="2" w:tplc="C52E216A">
      <w:numFmt w:val="none"/>
      <w:lvlText w:val=""/>
      <w:lvlJc w:val="left"/>
      <w:pPr>
        <w:tabs>
          <w:tab w:val="num" w:pos="360"/>
        </w:tabs>
      </w:pPr>
    </w:lvl>
    <w:lvl w:ilvl="3" w:tplc="49D4CF2E">
      <w:numFmt w:val="none"/>
      <w:lvlText w:val=""/>
      <w:lvlJc w:val="left"/>
      <w:pPr>
        <w:tabs>
          <w:tab w:val="num" w:pos="360"/>
        </w:tabs>
      </w:pPr>
    </w:lvl>
    <w:lvl w:ilvl="4" w:tplc="935C9E32">
      <w:numFmt w:val="none"/>
      <w:lvlText w:val=""/>
      <w:lvlJc w:val="left"/>
      <w:pPr>
        <w:tabs>
          <w:tab w:val="num" w:pos="360"/>
        </w:tabs>
      </w:pPr>
    </w:lvl>
    <w:lvl w:ilvl="5" w:tplc="613CC344">
      <w:numFmt w:val="none"/>
      <w:lvlText w:val=""/>
      <w:lvlJc w:val="left"/>
      <w:pPr>
        <w:tabs>
          <w:tab w:val="num" w:pos="360"/>
        </w:tabs>
      </w:pPr>
    </w:lvl>
    <w:lvl w:ilvl="6" w:tplc="862E1A98">
      <w:numFmt w:val="none"/>
      <w:lvlText w:val=""/>
      <w:lvlJc w:val="left"/>
      <w:pPr>
        <w:tabs>
          <w:tab w:val="num" w:pos="360"/>
        </w:tabs>
      </w:pPr>
    </w:lvl>
    <w:lvl w:ilvl="7" w:tplc="BE24F726">
      <w:numFmt w:val="none"/>
      <w:lvlText w:val=""/>
      <w:lvlJc w:val="left"/>
      <w:pPr>
        <w:tabs>
          <w:tab w:val="num" w:pos="360"/>
        </w:tabs>
      </w:pPr>
    </w:lvl>
    <w:lvl w:ilvl="8" w:tplc="282C7D66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472D39F0"/>
    <w:multiLevelType w:val="hybridMultilevel"/>
    <w:tmpl w:val="8730BBC8"/>
    <w:lvl w:ilvl="0" w:tplc="9B4A15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FC3FCC">
      <w:numFmt w:val="none"/>
      <w:lvlText w:val=""/>
      <w:lvlJc w:val="left"/>
      <w:pPr>
        <w:tabs>
          <w:tab w:val="num" w:pos="360"/>
        </w:tabs>
      </w:pPr>
    </w:lvl>
    <w:lvl w:ilvl="2" w:tplc="EB583F72">
      <w:numFmt w:val="none"/>
      <w:lvlText w:val=""/>
      <w:lvlJc w:val="left"/>
      <w:pPr>
        <w:tabs>
          <w:tab w:val="num" w:pos="360"/>
        </w:tabs>
      </w:pPr>
    </w:lvl>
    <w:lvl w:ilvl="3" w:tplc="44B8998E">
      <w:numFmt w:val="none"/>
      <w:lvlText w:val=""/>
      <w:lvlJc w:val="left"/>
      <w:pPr>
        <w:tabs>
          <w:tab w:val="num" w:pos="360"/>
        </w:tabs>
      </w:pPr>
    </w:lvl>
    <w:lvl w:ilvl="4" w:tplc="8132D6D8">
      <w:numFmt w:val="none"/>
      <w:lvlText w:val=""/>
      <w:lvlJc w:val="left"/>
      <w:pPr>
        <w:tabs>
          <w:tab w:val="num" w:pos="360"/>
        </w:tabs>
      </w:pPr>
    </w:lvl>
    <w:lvl w:ilvl="5" w:tplc="B9A81AE6">
      <w:numFmt w:val="none"/>
      <w:lvlText w:val=""/>
      <w:lvlJc w:val="left"/>
      <w:pPr>
        <w:tabs>
          <w:tab w:val="num" w:pos="360"/>
        </w:tabs>
      </w:pPr>
    </w:lvl>
    <w:lvl w:ilvl="6" w:tplc="3F5C2AA4">
      <w:numFmt w:val="none"/>
      <w:lvlText w:val=""/>
      <w:lvlJc w:val="left"/>
      <w:pPr>
        <w:tabs>
          <w:tab w:val="num" w:pos="360"/>
        </w:tabs>
      </w:pPr>
    </w:lvl>
    <w:lvl w:ilvl="7" w:tplc="20E44B90">
      <w:numFmt w:val="none"/>
      <w:lvlText w:val=""/>
      <w:lvlJc w:val="left"/>
      <w:pPr>
        <w:tabs>
          <w:tab w:val="num" w:pos="360"/>
        </w:tabs>
      </w:pPr>
    </w:lvl>
    <w:lvl w:ilvl="8" w:tplc="54B8855E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4B2E773C"/>
    <w:multiLevelType w:val="multilevel"/>
    <w:tmpl w:val="09185D4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>
    <w:nsid w:val="528E5F2F"/>
    <w:multiLevelType w:val="multilevel"/>
    <w:tmpl w:val="9ACE51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536F96"/>
    <w:multiLevelType w:val="multilevel"/>
    <w:tmpl w:val="4CF26F1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E9E2560"/>
    <w:multiLevelType w:val="multilevel"/>
    <w:tmpl w:val="11761A2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64831F3"/>
    <w:multiLevelType w:val="hybridMultilevel"/>
    <w:tmpl w:val="C9927816"/>
    <w:lvl w:ilvl="0" w:tplc="136ED56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5B4E44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6A10411"/>
    <w:multiLevelType w:val="multilevel"/>
    <w:tmpl w:val="55D077F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67E12CB"/>
    <w:multiLevelType w:val="hybridMultilevel"/>
    <w:tmpl w:val="718EC47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01047A"/>
    <w:multiLevelType w:val="multilevel"/>
    <w:tmpl w:val="F6721CC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9187140"/>
    <w:multiLevelType w:val="multilevel"/>
    <w:tmpl w:val="FAECC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C5F14DF"/>
    <w:multiLevelType w:val="multilevel"/>
    <w:tmpl w:val="CA500A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</w:num>
  <w:num w:numId="2">
    <w:abstractNumId w:val="26"/>
    <w:lvlOverride w:ilvl="0">
      <w:lvl w:ilvl="0">
        <w:numFmt w:val="decimal"/>
        <w:lvlText w:val="%1."/>
        <w:lvlJc w:val="left"/>
      </w:lvl>
    </w:lvlOverride>
  </w:num>
  <w:num w:numId="3">
    <w:abstractNumId w:val="14"/>
    <w:lvlOverride w:ilvl="0">
      <w:lvl w:ilvl="0">
        <w:numFmt w:val="decimal"/>
        <w:lvlText w:val="%1."/>
        <w:lvlJc w:val="left"/>
      </w:lvl>
    </w:lvlOverride>
  </w:num>
  <w:num w:numId="4">
    <w:abstractNumId w:val="18"/>
    <w:lvlOverride w:ilvl="0">
      <w:lvl w:ilvl="0">
        <w:numFmt w:val="decimal"/>
        <w:lvlText w:val="%1."/>
        <w:lvlJc w:val="left"/>
      </w:lvl>
    </w:lvlOverride>
  </w:num>
  <w:num w:numId="5">
    <w:abstractNumId w:val="20"/>
    <w:lvlOverride w:ilvl="0">
      <w:lvl w:ilvl="0">
        <w:numFmt w:val="decimal"/>
        <w:lvlText w:val="%1."/>
        <w:lvlJc w:val="left"/>
      </w:lvl>
    </w:lvlOverride>
  </w:num>
  <w:num w:numId="6">
    <w:abstractNumId w:val="22"/>
    <w:lvlOverride w:ilvl="0">
      <w:lvl w:ilvl="0">
        <w:numFmt w:val="decimal"/>
        <w:lvlText w:val="%1."/>
        <w:lvlJc w:val="left"/>
      </w:lvl>
    </w:lvlOverride>
  </w:num>
  <w:num w:numId="7">
    <w:abstractNumId w:val="24"/>
    <w:lvlOverride w:ilvl="0">
      <w:lvl w:ilvl="0">
        <w:numFmt w:val="decimal"/>
        <w:lvlText w:val="%1."/>
        <w:lvlJc w:val="left"/>
      </w:lvl>
    </w:lvlOverride>
  </w:num>
  <w:num w:numId="8">
    <w:abstractNumId w:val="9"/>
    <w:lvlOverride w:ilvl="0">
      <w:lvl w:ilvl="0">
        <w:numFmt w:val="decimal"/>
        <w:lvlText w:val="%1."/>
        <w:lvlJc w:val="left"/>
      </w:lvl>
    </w:lvlOverride>
  </w:num>
  <w:num w:numId="9">
    <w:abstractNumId w:val="19"/>
    <w:lvlOverride w:ilvl="0">
      <w:lvl w:ilvl="0">
        <w:numFmt w:val="decimal"/>
        <w:lvlText w:val="%1."/>
        <w:lvlJc w:val="left"/>
      </w:lvl>
    </w:lvlOverride>
  </w:num>
  <w:num w:numId="10">
    <w:abstractNumId w:val="6"/>
  </w:num>
  <w:num w:numId="11">
    <w:abstractNumId w:val="16"/>
  </w:num>
  <w:num w:numId="12">
    <w:abstractNumId w:val="3"/>
  </w:num>
  <w:num w:numId="13">
    <w:abstractNumId w:val="1"/>
  </w:num>
  <w:num w:numId="14">
    <w:abstractNumId w:val="17"/>
  </w:num>
  <w:num w:numId="15">
    <w:abstractNumId w:val="7"/>
  </w:num>
  <w:num w:numId="16">
    <w:abstractNumId w:val="5"/>
  </w:num>
  <w:num w:numId="17">
    <w:abstractNumId w:val="10"/>
  </w:num>
  <w:num w:numId="18">
    <w:abstractNumId w:val="21"/>
  </w:num>
  <w:num w:numId="19">
    <w:abstractNumId w:val="2"/>
  </w:num>
  <w:num w:numId="20">
    <w:abstractNumId w:val="15"/>
  </w:num>
  <w:num w:numId="21">
    <w:abstractNumId w:val="0"/>
  </w:num>
  <w:num w:numId="2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12"/>
  </w:num>
  <w:num w:numId="25">
    <w:abstractNumId w:val="8"/>
  </w:num>
  <w:num w:numId="26">
    <w:abstractNumId w:val="23"/>
  </w:num>
  <w:num w:numId="2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62CC"/>
    <w:rsid w:val="00040EDF"/>
    <w:rsid w:val="00054A93"/>
    <w:rsid w:val="000576CD"/>
    <w:rsid w:val="00113AD4"/>
    <w:rsid w:val="001159F1"/>
    <w:rsid w:val="00134EDA"/>
    <w:rsid w:val="001743C4"/>
    <w:rsid w:val="0019418B"/>
    <w:rsid w:val="001A3E33"/>
    <w:rsid w:val="001C674A"/>
    <w:rsid w:val="001D2DE4"/>
    <w:rsid w:val="001F5338"/>
    <w:rsid w:val="001F60A4"/>
    <w:rsid w:val="00230F6F"/>
    <w:rsid w:val="0025484B"/>
    <w:rsid w:val="00261E8C"/>
    <w:rsid w:val="0027275D"/>
    <w:rsid w:val="0027435D"/>
    <w:rsid w:val="002960C5"/>
    <w:rsid w:val="00296758"/>
    <w:rsid w:val="002A01D2"/>
    <w:rsid w:val="002B04AA"/>
    <w:rsid w:val="002B3634"/>
    <w:rsid w:val="002C45E1"/>
    <w:rsid w:val="002F1586"/>
    <w:rsid w:val="003005A8"/>
    <w:rsid w:val="003373F8"/>
    <w:rsid w:val="0038198B"/>
    <w:rsid w:val="003854FE"/>
    <w:rsid w:val="003A5209"/>
    <w:rsid w:val="003B470B"/>
    <w:rsid w:val="003D5726"/>
    <w:rsid w:val="00417830"/>
    <w:rsid w:val="004262CC"/>
    <w:rsid w:val="00453F8A"/>
    <w:rsid w:val="004558BB"/>
    <w:rsid w:val="00463D75"/>
    <w:rsid w:val="0048039E"/>
    <w:rsid w:val="004A3EF3"/>
    <w:rsid w:val="004B2D16"/>
    <w:rsid w:val="004E5DDF"/>
    <w:rsid w:val="004F184F"/>
    <w:rsid w:val="005019E9"/>
    <w:rsid w:val="005B15E6"/>
    <w:rsid w:val="005C31D1"/>
    <w:rsid w:val="00605CD9"/>
    <w:rsid w:val="006208B5"/>
    <w:rsid w:val="006750B1"/>
    <w:rsid w:val="006A13C8"/>
    <w:rsid w:val="006B1AA3"/>
    <w:rsid w:val="006B3DD0"/>
    <w:rsid w:val="006C75BA"/>
    <w:rsid w:val="006D2AC1"/>
    <w:rsid w:val="006E6448"/>
    <w:rsid w:val="006F1F00"/>
    <w:rsid w:val="00702E45"/>
    <w:rsid w:val="0072433F"/>
    <w:rsid w:val="00765BBA"/>
    <w:rsid w:val="007A23C9"/>
    <w:rsid w:val="007B7B7F"/>
    <w:rsid w:val="007F28B2"/>
    <w:rsid w:val="00846E2C"/>
    <w:rsid w:val="00875027"/>
    <w:rsid w:val="00892641"/>
    <w:rsid w:val="008C7B09"/>
    <w:rsid w:val="008D402A"/>
    <w:rsid w:val="00905962"/>
    <w:rsid w:val="00910564"/>
    <w:rsid w:val="009314BC"/>
    <w:rsid w:val="009720CB"/>
    <w:rsid w:val="009935E4"/>
    <w:rsid w:val="009A0B03"/>
    <w:rsid w:val="009A1A8E"/>
    <w:rsid w:val="009D660B"/>
    <w:rsid w:val="009E6648"/>
    <w:rsid w:val="009F4E97"/>
    <w:rsid w:val="00A07A99"/>
    <w:rsid w:val="00A1282E"/>
    <w:rsid w:val="00A21F6C"/>
    <w:rsid w:val="00A3184C"/>
    <w:rsid w:val="00A403B7"/>
    <w:rsid w:val="00A41D3F"/>
    <w:rsid w:val="00AA5FB2"/>
    <w:rsid w:val="00AC0457"/>
    <w:rsid w:val="00AE7D1D"/>
    <w:rsid w:val="00B00819"/>
    <w:rsid w:val="00B31803"/>
    <w:rsid w:val="00B351D9"/>
    <w:rsid w:val="00B624CB"/>
    <w:rsid w:val="00B66A4B"/>
    <w:rsid w:val="00BA58B2"/>
    <w:rsid w:val="00BD14C5"/>
    <w:rsid w:val="00C00327"/>
    <w:rsid w:val="00C0491F"/>
    <w:rsid w:val="00C34397"/>
    <w:rsid w:val="00C560F8"/>
    <w:rsid w:val="00C95729"/>
    <w:rsid w:val="00CC1402"/>
    <w:rsid w:val="00CC1539"/>
    <w:rsid w:val="00D17CCE"/>
    <w:rsid w:val="00D301CF"/>
    <w:rsid w:val="00D36C34"/>
    <w:rsid w:val="00D57676"/>
    <w:rsid w:val="00D64819"/>
    <w:rsid w:val="00D761E0"/>
    <w:rsid w:val="00DA3487"/>
    <w:rsid w:val="00DA711F"/>
    <w:rsid w:val="00DD3626"/>
    <w:rsid w:val="00DD4813"/>
    <w:rsid w:val="00E04C30"/>
    <w:rsid w:val="00E07335"/>
    <w:rsid w:val="00E61E65"/>
    <w:rsid w:val="00E968F2"/>
    <w:rsid w:val="00EB7B85"/>
    <w:rsid w:val="00ED4429"/>
    <w:rsid w:val="00ED618B"/>
    <w:rsid w:val="00ED65F8"/>
    <w:rsid w:val="00EE673B"/>
    <w:rsid w:val="00EE79CD"/>
    <w:rsid w:val="00F02BB4"/>
    <w:rsid w:val="00F2120B"/>
    <w:rsid w:val="00F22239"/>
    <w:rsid w:val="00F40FEC"/>
    <w:rsid w:val="00F65D35"/>
    <w:rsid w:val="00F8653A"/>
    <w:rsid w:val="00F867C7"/>
    <w:rsid w:val="00F93B42"/>
    <w:rsid w:val="00FA1B00"/>
    <w:rsid w:val="00FA6829"/>
    <w:rsid w:val="00FB7A1B"/>
    <w:rsid w:val="00FD0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3">
    <w:name w:val="heading 3"/>
    <w:basedOn w:val="a"/>
    <w:next w:val="a"/>
    <w:link w:val="30"/>
    <w:qFormat/>
    <w:rsid w:val="00463D75"/>
    <w:pPr>
      <w:keepNext/>
      <w:ind w:firstLine="720"/>
      <w:jc w:val="both"/>
      <w:outlineLvl w:val="2"/>
    </w:pPr>
    <w:rPr>
      <w:b/>
      <w:bCs/>
      <w:szCs w:val="20"/>
      <w:lang w:eastAsia="en-US" w:bidi="ar-L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unhideWhenUsed/>
    <w:rsid w:val="004262CC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4262CC"/>
    <w:rPr>
      <w:b/>
      <w:bCs/>
    </w:rPr>
  </w:style>
  <w:style w:type="character" w:customStyle="1" w:styleId="apple-converted-space">
    <w:name w:val="apple-converted-space"/>
    <w:basedOn w:val="a0"/>
    <w:rsid w:val="004262CC"/>
  </w:style>
  <w:style w:type="character" w:styleId="a6">
    <w:name w:val="Emphasis"/>
    <w:basedOn w:val="a0"/>
    <w:uiPriority w:val="20"/>
    <w:qFormat/>
    <w:rsid w:val="004262CC"/>
    <w:rPr>
      <w:i/>
      <w:iCs/>
    </w:rPr>
  </w:style>
  <w:style w:type="character" w:styleId="a7">
    <w:name w:val="Hyperlink"/>
    <w:basedOn w:val="a0"/>
    <w:rsid w:val="00040EDF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40EDF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040EDF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DD481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лавие 3 Знак"/>
    <w:basedOn w:val="a0"/>
    <w:link w:val="3"/>
    <w:rsid w:val="00463D75"/>
    <w:rPr>
      <w:rFonts w:ascii="Times New Roman" w:eastAsia="Times New Roman" w:hAnsi="Times New Roman" w:cs="Times New Roman"/>
      <w:b/>
      <w:bCs/>
      <w:sz w:val="24"/>
      <w:szCs w:val="20"/>
      <w:lang w:bidi="ar-LY"/>
    </w:rPr>
  </w:style>
  <w:style w:type="paragraph" w:styleId="ab">
    <w:name w:val="Body Text Indent"/>
    <w:basedOn w:val="a"/>
    <w:link w:val="ac"/>
    <w:rsid w:val="00463D75"/>
    <w:pPr>
      <w:spacing w:after="120"/>
      <w:ind w:left="283"/>
    </w:pPr>
    <w:rPr>
      <w:szCs w:val="20"/>
      <w:lang w:eastAsia="en-US" w:bidi="ar-LY"/>
    </w:rPr>
  </w:style>
  <w:style w:type="character" w:customStyle="1" w:styleId="ac">
    <w:name w:val="Основен текст с отстъп Знак"/>
    <w:basedOn w:val="a0"/>
    <w:link w:val="ab"/>
    <w:rsid w:val="00463D75"/>
    <w:rPr>
      <w:rFonts w:ascii="Times New Roman" w:eastAsia="Times New Roman" w:hAnsi="Times New Roman" w:cs="Times New Roman"/>
      <w:sz w:val="24"/>
      <w:szCs w:val="20"/>
      <w:lang w:bidi="ar-LY"/>
    </w:rPr>
  </w:style>
  <w:style w:type="character" w:customStyle="1" w:styleId="spelle">
    <w:name w:val="spelle"/>
    <w:basedOn w:val="a0"/>
    <w:rsid w:val="003A5209"/>
  </w:style>
  <w:style w:type="character" w:customStyle="1" w:styleId="a4">
    <w:name w:val="Нормален (уеб) Знак"/>
    <w:aliases w:val="Normal (Web) Char Знак"/>
    <w:link w:val="a3"/>
    <w:rsid w:val="003A5209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d">
    <w:name w:val="header"/>
    <w:basedOn w:val="a"/>
    <w:link w:val="ae"/>
    <w:uiPriority w:val="99"/>
    <w:semiHidden/>
    <w:unhideWhenUsed/>
    <w:rsid w:val="00AC0457"/>
    <w:pPr>
      <w:tabs>
        <w:tab w:val="center" w:pos="4536"/>
        <w:tab w:val="right" w:pos="9072"/>
      </w:tabs>
    </w:pPr>
  </w:style>
  <w:style w:type="character" w:customStyle="1" w:styleId="ae">
    <w:name w:val="Горен колонтитул Знак"/>
    <w:basedOn w:val="a0"/>
    <w:link w:val="ad"/>
    <w:uiPriority w:val="99"/>
    <w:semiHidden/>
    <w:rsid w:val="00AC0457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f">
    <w:name w:val="footer"/>
    <w:basedOn w:val="a"/>
    <w:link w:val="af0"/>
    <w:uiPriority w:val="99"/>
    <w:semiHidden/>
    <w:unhideWhenUsed/>
    <w:rsid w:val="00AC0457"/>
    <w:pPr>
      <w:tabs>
        <w:tab w:val="center" w:pos="4536"/>
        <w:tab w:val="right" w:pos="9072"/>
      </w:tabs>
    </w:pPr>
  </w:style>
  <w:style w:type="character" w:customStyle="1" w:styleId="af0">
    <w:name w:val="Долен колонтитул Знак"/>
    <w:basedOn w:val="a0"/>
    <w:link w:val="af"/>
    <w:uiPriority w:val="99"/>
    <w:semiHidden/>
    <w:rsid w:val="00AC0457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npazar@icon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B3839-2133-4A21-BF3A-62B0D8820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6</Pages>
  <Words>2400</Words>
  <Characters>13680</Characters>
  <Application>Microsoft Office Word</Application>
  <DocSecurity>0</DocSecurity>
  <Lines>114</Lines>
  <Paragraphs>32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84</cp:revision>
  <cp:lastPrinted>2018-01-09T08:05:00Z</cp:lastPrinted>
  <dcterms:created xsi:type="dcterms:W3CDTF">2016-06-20T08:23:00Z</dcterms:created>
  <dcterms:modified xsi:type="dcterms:W3CDTF">2018-01-11T07:01:00Z</dcterms:modified>
</cp:coreProperties>
</file>